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05E5237" w14:textId="77777777" w:rsidR="00F40758" w:rsidRPr="00F40758" w:rsidRDefault="00F40758" w:rsidP="00F4075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F4075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Pr="00F407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Хронічний карієс 37 зуба ІІ класу за Блеком у підлітка 16 років: лікування з використанням фотокомпозитного матеріалу</w:t>
      </w:r>
      <w:r w:rsidRPr="00F4075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C6A8C36" w:rsidR="00532372" w:rsidRPr="003A62A8" w:rsidRDefault="00532372" w:rsidP="00F407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40758" w:rsidRPr="00F40758">
        <w:rPr>
          <w:rFonts w:ascii="Times New Roman" w:hAnsi="Times New Roman"/>
          <w:b/>
          <w:sz w:val="28"/>
          <w:szCs w:val="28"/>
          <w:lang w:val="uk-UA"/>
        </w:rPr>
        <w:t>«Хронічний карієс 37 зуба ІІ класу за Блеком у підлітка 16 років: лікування з використанням фотокомпозитного матеріалу»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0E495D4" w14:textId="77777777" w:rsidR="00F40758" w:rsidRPr="00F40758" w:rsidRDefault="00F40758" w:rsidP="00F40758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40758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препарування каріозних порожнин ІІ класу за Блеком під пломби із композитного матеріали</w:t>
      </w:r>
    </w:p>
    <w:p w14:paraId="03738908" w14:textId="570333BC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8EA" w14:textId="77777777" w:rsidR="00F40758" w:rsidRPr="00F40758" w:rsidRDefault="00F4075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Ознайомтесь з віком дитини та моделлю зубного ряду.</w:t>
            </w:r>
          </w:p>
          <w:p w14:paraId="43E17760" w14:textId="2282F88B" w:rsidR="003B73FC" w:rsidRPr="003B73FC" w:rsidRDefault="00F4075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Продемонструйте клінічне та інструментальне визначення меж ураження.</w:t>
            </w:r>
            <w:r w:rsidR="00AF1B46" w:rsidRPr="00AF1B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A8EB9E3" w:rsidR="003B73FC" w:rsidRPr="003B73FC" w:rsidRDefault="00F4075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064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Застосуйте дзеркало та зонд для виявлення каріозних порожнин.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Проведіть візуальну та інструментальну оцінку глибини ураження</w:t>
            </w:r>
          </w:p>
          <w:p w14:paraId="46B7FABF" w14:textId="0C0723A7" w:rsidR="003B73FC" w:rsidRPr="004B52BF" w:rsidRDefault="00F40758" w:rsidP="00AF1B4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</w:rPr>
              <w:t>- Оберіть адекватну форму доступу до порожнини II класу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96B3037" w:rsidR="003B73FC" w:rsidRPr="003B73FC" w:rsidRDefault="00F4075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препарування каріозної порожнини II класу з дотриманням форми доступу.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EA1B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Видаліть розм’якшений дентин, зберігаючи здорові тканини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Формування гладкого плоского дна</w:t>
            </w:r>
          </w:p>
          <w:p w14:paraId="7E19F2A9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Формування ретенційних особливостей II класу (розширення у напрямку до язикової/щічної поверхні)</w:t>
            </w:r>
          </w:p>
          <w:p w14:paraId="447F29F7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Створіть зворотний конус із підрізанням емалі та проводимо згладження її країв 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Проведіть контроль глибини і меж препарування.</w:t>
            </w:r>
          </w:p>
          <w:p w14:paraId="7F1EC556" w14:textId="5D79CA36" w:rsidR="003B73FC" w:rsidRPr="003B73FC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Утворіть зручну для бондування поверхню</w:t>
            </w: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- Продемонструйте готовність порожнини до етапу пломбування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D7E" w14:textId="037BDAC9" w:rsidR="00AC3BB5" w:rsidRPr="00AC3BB5" w:rsidRDefault="00F4075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7228" w14:textId="77777777" w:rsidR="00F40758" w:rsidRPr="00F40758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21D9267E" w14:textId="7A0B1137" w:rsidR="00AC3BB5" w:rsidRPr="00AC3BB5" w:rsidRDefault="00F40758" w:rsidP="00F4075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40758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Пацієнт проінформований студентом щодо основних заходів профілактики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5019</Words>
  <Characters>2862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28</cp:revision>
  <dcterms:created xsi:type="dcterms:W3CDTF">2025-06-02T09:26:00Z</dcterms:created>
  <dcterms:modified xsi:type="dcterms:W3CDTF">2025-06-02T11:36:00Z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