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B9B36" w14:textId="5E48BF3C" w:rsidR="00E4423D" w:rsidRPr="00400B73" w:rsidRDefault="00E4423D" w:rsidP="00E4423D">
      <w:pPr>
        <w:pStyle w:val="a3"/>
        <w:spacing w:before="43"/>
        <w:ind w:left="236" w:right="113"/>
        <w:jc w:val="center"/>
        <w:rPr>
          <w:sz w:val="28"/>
          <w:szCs w:val="28"/>
          <w:lang w:val="uk-UA"/>
        </w:rPr>
      </w:pPr>
      <w:proofErr w:type="spellStart"/>
      <w:r>
        <w:rPr>
          <w:b/>
          <w:bCs/>
          <w:sz w:val="28"/>
          <w:szCs w:val="28"/>
        </w:rPr>
        <w:t>Європейське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соціальне</w:t>
      </w:r>
      <w:proofErr w:type="spellEnd"/>
      <w:r w:rsidRPr="00512913">
        <w:rPr>
          <w:b/>
          <w:bCs/>
          <w:sz w:val="28"/>
          <w:szCs w:val="28"/>
        </w:rPr>
        <w:t xml:space="preserve"> </w:t>
      </w:r>
      <w:proofErr w:type="spellStart"/>
      <w:r w:rsidRPr="00512913">
        <w:rPr>
          <w:b/>
          <w:bCs/>
          <w:sz w:val="28"/>
          <w:szCs w:val="28"/>
        </w:rPr>
        <w:t>право</w:t>
      </w:r>
      <w:proofErr w:type="spellEnd"/>
    </w:p>
    <w:p w14:paraId="355E4660" w14:textId="77777777" w:rsidR="00E4423D" w:rsidRPr="00870ED3" w:rsidRDefault="00E4423D" w:rsidP="00E4423D">
      <w:pPr>
        <w:pStyle w:val="a3"/>
        <w:spacing w:before="3" w:after="1"/>
        <w:rPr>
          <w:sz w:val="16"/>
          <w:szCs w:val="16"/>
          <w:lang w:val="ru-RU"/>
        </w:rPr>
      </w:pP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E4423D" w:rsidRPr="00DD5AF3" w14:paraId="2A96AFF3" w14:textId="77777777" w:rsidTr="00805142">
        <w:trPr>
          <w:trHeight w:val="371"/>
        </w:trPr>
        <w:tc>
          <w:tcPr>
            <w:tcW w:w="4117" w:type="dxa"/>
          </w:tcPr>
          <w:p w14:paraId="6AF8775E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590832EE" w14:textId="555F09D9" w:rsidR="00E4423D" w:rsidRPr="00DD5AF3" w:rsidRDefault="008B5069" w:rsidP="00805142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перший</w:t>
            </w:r>
            <w:r w:rsidR="00E4423D" w:rsidRPr="00B618C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бакалавр</w:t>
            </w:r>
            <w:r w:rsidR="00E4423D">
              <w:rPr>
                <w:sz w:val="28"/>
                <w:szCs w:val="28"/>
              </w:rPr>
              <w:t>ський</w:t>
            </w:r>
            <w:r w:rsidR="00E4423D" w:rsidRPr="00B618CE">
              <w:rPr>
                <w:sz w:val="28"/>
                <w:szCs w:val="28"/>
              </w:rPr>
              <w:t>)</w:t>
            </w:r>
          </w:p>
        </w:tc>
      </w:tr>
      <w:tr w:rsidR="00E4423D" w:rsidRPr="00DD5AF3" w14:paraId="7150AFA3" w14:textId="77777777" w:rsidTr="00805142">
        <w:trPr>
          <w:trHeight w:val="369"/>
        </w:trPr>
        <w:tc>
          <w:tcPr>
            <w:tcW w:w="4117" w:type="dxa"/>
          </w:tcPr>
          <w:p w14:paraId="71E8CECC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0B5259EE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E4423D" w:rsidRPr="00DD5AF3" w14:paraId="4344311B" w14:textId="77777777" w:rsidTr="00805142">
        <w:trPr>
          <w:trHeight w:val="371"/>
        </w:trPr>
        <w:tc>
          <w:tcPr>
            <w:tcW w:w="4117" w:type="dxa"/>
          </w:tcPr>
          <w:p w14:paraId="3F6EF88D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1F420846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весняний</w:t>
            </w:r>
          </w:p>
        </w:tc>
      </w:tr>
      <w:tr w:rsidR="00E4423D" w:rsidRPr="00DD5AF3" w14:paraId="6A78299F" w14:textId="77777777" w:rsidTr="00805142">
        <w:trPr>
          <w:trHeight w:val="369"/>
        </w:trPr>
        <w:tc>
          <w:tcPr>
            <w:tcW w:w="4117" w:type="dxa"/>
          </w:tcPr>
          <w:p w14:paraId="2A1CC42F" w14:textId="0EB6374A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632" w:type="dxa"/>
          </w:tcPr>
          <w:p w14:paraId="2C9EFDB7" w14:textId="1F5D0936" w:rsidR="00E4423D" w:rsidRPr="00DD5AF3" w:rsidRDefault="00E4423D" w:rsidP="00805142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="008B5069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кредити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ЄКТС</w:t>
            </w:r>
          </w:p>
        </w:tc>
      </w:tr>
      <w:tr w:rsidR="00E4423D" w:rsidRPr="00DD5AF3" w14:paraId="2D6C68CB" w14:textId="77777777" w:rsidTr="00805142">
        <w:trPr>
          <w:trHeight w:val="369"/>
        </w:trPr>
        <w:tc>
          <w:tcPr>
            <w:tcW w:w="4117" w:type="dxa"/>
          </w:tcPr>
          <w:p w14:paraId="1EE1B84B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5467CE91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618CE">
              <w:rPr>
                <w:sz w:val="28"/>
                <w:szCs w:val="28"/>
              </w:rPr>
              <w:t>українська</w:t>
            </w:r>
          </w:p>
        </w:tc>
      </w:tr>
      <w:tr w:rsidR="00E4423D" w:rsidRPr="00DD5AF3" w14:paraId="2EBF06FA" w14:textId="77777777" w:rsidTr="00805142">
        <w:trPr>
          <w:trHeight w:val="645"/>
        </w:trPr>
        <w:tc>
          <w:tcPr>
            <w:tcW w:w="4117" w:type="dxa"/>
          </w:tcPr>
          <w:p w14:paraId="32FCFE9A" w14:textId="77777777" w:rsidR="00E4423D" w:rsidRPr="00DD5AF3" w:rsidRDefault="00E4423D" w:rsidP="0080514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Передумови для вивчення</w:t>
            </w:r>
          </w:p>
          <w:p w14:paraId="2EC01F08" w14:textId="77777777" w:rsidR="00E4423D" w:rsidRPr="00DD5AF3" w:rsidRDefault="00E4423D" w:rsidP="0080514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1B733B84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490E6F">
              <w:rPr>
                <w:sz w:val="28"/>
                <w:szCs w:val="28"/>
              </w:rPr>
              <w:t>Базові знання з правознавства</w:t>
            </w:r>
          </w:p>
        </w:tc>
      </w:tr>
      <w:tr w:rsidR="00E4423D" w:rsidRPr="00DD5AF3" w14:paraId="4CAA3BD5" w14:textId="77777777" w:rsidTr="00805142">
        <w:trPr>
          <w:trHeight w:val="642"/>
        </w:trPr>
        <w:tc>
          <w:tcPr>
            <w:tcW w:w="4117" w:type="dxa"/>
          </w:tcPr>
          <w:p w14:paraId="717B7E5B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29AB6B96" w14:textId="77777777" w:rsidR="00E4423D" w:rsidRPr="00DD5AF3" w:rsidRDefault="00E4423D" w:rsidP="0080514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304B1D27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Кафедра господарського права</w:t>
            </w:r>
          </w:p>
        </w:tc>
      </w:tr>
      <w:tr w:rsidR="00E4423D" w:rsidRPr="00DD5AF3" w14:paraId="328764DF" w14:textId="77777777" w:rsidTr="00805142">
        <w:trPr>
          <w:trHeight w:val="371"/>
        </w:trPr>
        <w:tc>
          <w:tcPr>
            <w:tcW w:w="4117" w:type="dxa"/>
          </w:tcPr>
          <w:p w14:paraId="39C62BFA" w14:textId="77777777" w:rsidR="00E4423D" w:rsidRPr="00DD5AF3" w:rsidRDefault="00E4423D" w:rsidP="0080514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0291E83F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Робоча програма, лекції, навчально-методичні рекомендації</w:t>
            </w:r>
          </w:p>
        </w:tc>
      </w:tr>
      <w:tr w:rsidR="00E4423D" w:rsidRPr="00DD5AF3" w14:paraId="05C52571" w14:textId="77777777" w:rsidTr="00805142">
        <w:trPr>
          <w:trHeight w:val="369"/>
        </w:trPr>
        <w:tc>
          <w:tcPr>
            <w:tcW w:w="4117" w:type="dxa"/>
          </w:tcPr>
          <w:p w14:paraId="0F358A65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40B04D5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Лекції, семінари</w:t>
            </w:r>
          </w:p>
        </w:tc>
      </w:tr>
      <w:tr w:rsidR="00E4423D" w:rsidRPr="00DD5AF3" w14:paraId="6A30643C" w14:textId="77777777" w:rsidTr="00805142">
        <w:trPr>
          <w:trHeight w:val="371"/>
        </w:trPr>
        <w:tc>
          <w:tcPr>
            <w:tcW w:w="4117" w:type="dxa"/>
          </w:tcPr>
          <w:p w14:paraId="773A0D28" w14:textId="4F3711E4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632" w:type="dxa"/>
          </w:tcPr>
          <w:p w14:paraId="09179EB6" w14:textId="77777777" w:rsidR="00E4423D" w:rsidRPr="00DD5AF3" w:rsidRDefault="00E4423D" w:rsidP="008051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залік</w:t>
            </w:r>
          </w:p>
        </w:tc>
      </w:tr>
    </w:tbl>
    <w:p w14:paraId="5D8253DF" w14:textId="77777777" w:rsidR="00E4423D" w:rsidRDefault="00E4423D" w:rsidP="00E4423D">
      <w:p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</w:p>
    <w:p w14:paraId="6BD87870" w14:textId="77777777" w:rsidR="00E4423D" w:rsidRDefault="00E4423D" w:rsidP="00E4423D">
      <w:pPr>
        <w:spacing w:before="21" w:line="278" w:lineRule="auto"/>
        <w:ind w:right="149" w:firstLine="567"/>
        <w:rPr>
          <w:sz w:val="20"/>
        </w:rPr>
      </w:pPr>
      <w:r w:rsidRPr="00F63FA1">
        <w:rPr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6A914623" w14:textId="77777777" w:rsidR="00E4423D" w:rsidRDefault="00E4423D" w:rsidP="00E4423D">
      <w:pPr>
        <w:spacing w:before="21" w:line="278" w:lineRule="auto"/>
        <w:ind w:right="149"/>
        <w:rPr>
          <w:sz w:val="24"/>
          <w:szCs w:val="36"/>
        </w:rPr>
      </w:pPr>
      <w:r>
        <w:rPr>
          <w:sz w:val="24"/>
          <w:szCs w:val="36"/>
        </w:rPr>
        <w:t xml:space="preserve">- </w:t>
      </w:r>
      <w:r w:rsidRPr="00512913">
        <w:rPr>
          <w:sz w:val="24"/>
          <w:szCs w:val="36"/>
        </w:rPr>
        <w:t>Здатність розуміти зміст та юридичну природу національних нормативно-правових актів, міжнародних договорів та інших міжнародних документів;</w:t>
      </w:r>
    </w:p>
    <w:p w14:paraId="623CAAD1" w14:textId="77777777" w:rsidR="00E4423D" w:rsidRDefault="00E4423D" w:rsidP="00E4423D">
      <w:pPr>
        <w:spacing w:before="21" w:line="278" w:lineRule="auto"/>
        <w:ind w:right="149"/>
        <w:rPr>
          <w:sz w:val="24"/>
          <w:szCs w:val="36"/>
        </w:rPr>
      </w:pPr>
      <w:r>
        <w:rPr>
          <w:sz w:val="24"/>
          <w:szCs w:val="36"/>
        </w:rPr>
        <w:t>- </w:t>
      </w:r>
      <w:r w:rsidRPr="00512913">
        <w:rPr>
          <w:sz w:val="24"/>
          <w:szCs w:val="36"/>
        </w:rPr>
        <w:t xml:space="preserve">Здатність застосовувати нормативні положення і доктрини міжнародного публічного, міжнародного приватного, національного, іноземного, європейського права,  використовувати вузькоспеціалізовані знання з конкретних напрямів регулювання міжнародним правом; </w:t>
      </w:r>
    </w:p>
    <w:p w14:paraId="4C7208AA" w14:textId="77777777" w:rsidR="00E4423D" w:rsidRDefault="00E4423D" w:rsidP="00E4423D">
      <w:pPr>
        <w:spacing w:before="21" w:line="278" w:lineRule="auto"/>
        <w:ind w:right="149"/>
        <w:rPr>
          <w:sz w:val="24"/>
          <w:szCs w:val="36"/>
        </w:rPr>
      </w:pPr>
      <w:r>
        <w:rPr>
          <w:sz w:val="24"/>
          <w:szCs w:val="36"/>
        </w:rPr>
        <w:t>- </w:t>
      </w:r>
      <w:r w:rsidRPr="00512913">
        <w:rPr>
          <w:sz w:val="24"/>
          <w:szCs w:val="36"/>
        </w:rPr>
        <w:t xml:space="preserve">Здатність розуміти теоретичні та практичні аспекти порівняльного правознавства, аналізувати зміст національних правових інститутів у порівняльно-правовому контексті;  </w:t>
      </w:r>
    </w:p>
    <w:p w14:paraId="4DC33B72" w14:textId="77777777" w:rsidR="00E4423D" w:rsidRDefault="00E4423D" w:rsidP="00E4423D">
      <w:pPr>
        <w:spacing w:before="21" w:line="278" w:lineRule="auto"/>
        <w:ind w:right="149"/>
        <w:rPr>
          <w:sz w:val="24"/>
          <w:szCs w:val="36"/>
        </w:rPr>
      </w:pPr>
      <w:r>
        <w:rPr>
          <w:sz w:val="24"/>
          <w:szCs w:val="36"/>
        </w:rPr>
        <w:t>- </w:t>
      </w:r>
      <w:r w:rsidRPr="00512913">
        <w:rPr>
          <w:sz w:val="24"/>
          <w:szCs w:val="36"/>
        </w:rPr>
        <w:t>Здатність до самонавчання та підвищення рівня власної кваліфікації</w:t>
      </w:r>
      <w:r>
        <w:rPr>
          <w:sz w:val="24"/>
          <w:szCs w:val="36"/>
        </w:rPr>
        <w:t>.</w:t>
      </w:r>
    </w:p>
    <w:p w14:paraId="55CC6E83" w14:textId="77777777" w:rsidR="00E4423D" w:rsidRDefault="00E4423D" w:rsidP="00E4423D">
      <w:pPr>
        <w:spacing w:before="21" w:line="278" w:lineRule="auto"/>
        <w:ind w:right="149" w:firstLine="567"/>
        <w:rPr>
          <w:b/>
          <w:sz w:val="24"/>
          <w:szCs w:val="24"/>
        </w:rPr>
      </w:pPr>
      <w:r w:rsidRPr="00F63FA1">
        <w:rPr>
          <w:b/>
          <w:sz w:val="24"/>
          <w:szCs w:val="24"/>
        </w:rPr>
        <w:t>Короткий зміст дисципліни (що буде вивчатися, перелік тем):</w:t>
      </w:r>
    </w:p>
    <w:p w14:paraId="5D332828" w14:textId="42600C02" w:rsidR="00816E22" w:rsidRPr="00816E22" w:rsidRDefault="00E4423D" w:rsidP="00816E22">
      <w:pPr>
        <w:spacing w:before="21" w:line="278" w:lineRule="auto"/>
        <w:ind w:right="149"/>
        <w:rPr>
          <w:sz w:val="24"/>
          <w:szCs w:val="36"/>
        </w:rPr>
      </w:pPr>
      <w:r w:rsidRPr="0040465A">
        <w:rPr>
          <w:b/>
          <w:bCs/>
          <w:sz w:val="24"/>
          <w:szCs w:val="36"/>
        </w:rPr>
        <w:t>Тема 1.</w:t>
      </w:r>
      <w:r w:rsidRPr="0040465A">
        <w:rPr>
          <w:sz w:val="24"/>
          <w:szCs w:val="36"/>
        </w:rPr>
        <w:t xml:space="preserve"> </w:t>
      </w:r>
      <w:r w:rsidR="00816E22" w:rsidRPr="00816E22">
        <w:rPr>
          <w:sz w:val="24"/>
          <w:szCs w:val="36"/>
        </w:rPr>
        <w:t>. Основні етапи розвитку трудового та</w:t>
      </w:r>
      <w:r w:rsidR="00816E22">
        <w:rPr>
          <w:sz w:val="24"/>
          <w:szCs w:val="36"/>
          <w:lang w:val="en-US"/>
        </w:rPr>
        <w:t xml:space="preserve"> </w:t>
      </w:r>
      <w:r w:rsidR="00816E22" w:rsidRPr="00816E22">
        <w:rPr>
          <w:sz w:val="24"/>
          <w:szCs w:val="36"/>
        </w:rPr>
        <w:t xml:space="preserve">соціального права Європейського Союзу </w:t>
      </w:r>
    </w:p>
    <w:p w14:paraId="74DCB376" w14:textId="1DDE7036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816E22">
        <w:rPr>
          <w:b/>
          <w:bCs/>
          <w:sz w:val="24"/>
          <w:szCs w:val="36"/>
        </w:rPr>
        <w:t>Тема 2.</w:t>
      </w:r>
      <w:r w:rsidRPr="00816E22">
        <w:rPr>
          <w:sz w:val="24"/>
          <w:szCs w:val="36"/>
        </w:rPr>
        <w:t xml:space="preserve"> Соціальна політика Європейського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Союзу та її основні моделі. Неоліберальна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соціальна модель</w:t>
      </w:r>
    </w:p>
    <w:p w14:paraId="41E39F2F" w14:textId="2D23B78E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816E22">
        <w:rPr>
          <w:b/>
          <w:bCs/>
          <w:sz w:val="24"/>
          <w:szCs w:val="36"/>
        </w:rPr>
        <w:t xml:space="preserve">Тема 3. </w:t>
      </w:r>
      <w:r w:rsidRPr="00816E22">
        <w:rPr>
          <w:sz w:val="24"/>
          <w:szCs w:val="36"/>
        </w:rPr>
        <w:t>Загальна характеристика Європейської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соціальної хартії.</w:t>
      </w:r>
    </w:p>
    <w:p w14:paraId="4C03C8B5" w14:textId="3161E535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816E22">
        <w:rPr>
          <w:b/>
          <w:bCs/>
          <w:sz w:val="24"/>
          <w:szCs w:val="36"/>
        </w:rPr>
        <w:t xml:space="preserve">Тема 4. </w:t>
      </w:r>
      <w:r w:rsidRPr="00816E22">
        <w:rPr>
          <w:sz w:val="24"/>
          <w:szCs w:val="36"/>
        </w:rPr>
        <w:t>Європейський кодекс соціального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 xml:space="preserve">забезпечення </w:t>
      </w:r>
    </w:p>
    <w:p w14:paraId="6BDCA130" w14:textId="60221150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816E22">
        <w:rPr>
          <w:b/>
          <w:bCs/>
          <w:sz w:val="24"/>
          <w:szCs w:val="36"/>
        </w:rPr>
        <w:t>Тема 5</w:t>
      </w:r>
      <w:r w:rsidRPr="00816E22">
        <w:rPr>
          <w:sz w:val="24"/>
          <w:szCs w:val="36"/>
        </w:rPr>
        <w:t>. Женевська конвенція про міжнародні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норми соціального забезпечення. Паризька</w:t>
      </w:r>
      <w:r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конвенція про соціальну та медичну допомогу.</w:t>
      </w:r>
    </w:p>
    <w:p w14:paraId="22B8FCAD" w14:textId="7BA08E4A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6.</w:t>
      </w:r>
      <w:r w:rsidRPr="00816E22">
        <w:rPr>
          <w:sz w:val="24"/>
          <w:szCs w:val="36"/>
        </w:rPr>
        <w:t xml:space="preserve"> Практика Європейського комітету з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соціальних прав.</w:t>
      </w:r>
    </w:p>
    <w:p w14:paraId="78F132DC" w14:textId="438DB2C3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7.</w:t>
      </w:r>
      <w:r w:rsidRPr="00816E22">
        <w:rPr>
          <w:sz w:val="24"/>
          <w:szCs w:val="36"/>
        </w:rPr>
        <w:t xml:space="preserve"> Заборона дискримінації у сфері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трудового та соціального права Європейського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Союзу.</w:t>
      </w:r>
    </w:p>
    <w:p w14:paraId="20D6AEDB" w14:textId="4E3B272E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8.</w:t>
      </w:r>
      <w:r w:rsidRPr="00816E22">
        <w:rPr>
          <w:sz w:val="24"/>
          <w:szCs w:val="36"/>
        </w:rPr>
        <w:t xml:space="preserve"> Регламентація робочого часу та часу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 xml:space="preserve">відпочинку в праві Європейського Союзу. </w:t>
      </w:r>
    </w:p>
    <w:p w14:paraId="66FED987" w14:textId="3F1A5C7B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9.</w:t>
      </w:r>
      <w:r w:rsidRPr="00816E22">
        <w:rPr>
          <w:sz w:val="24"/>
          <w:szCs w:val="36"/>
        </w:rPr>
        <w:t xml:space="preserve"> Охорона праці в Європейського Союзу</w:t>
      </w:r>
    </w:p>
    <w:p w14:paraId="4E946571" w14:textId="51DEA546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10.</w:t>
      </w:r>
      <w:r w:rsidRPr="00816E22">
        <w:rPr>
          <w:sz w:val="24"/>
          <w:szCs w:val="36"/>
        </w:rPr>
        <w:t xml:space="preserve"> Права працівників Європейського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 xml:space="preserve">Союзу у разі звільнення </w:t>
      </w:r>
    </w:p>
    <w:p w14:paraId="7AE20739" w14:textId="60545858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11.</w:t>
      </w:r>
      <w:r w:rsidRPr="00816E22">
        <w:rPr>
          <w:sz w:val="24"/>
          <w:szCs w:val="36"/>
        </w:rPr>
        <w:t xml:space="preserve"> Трудові відносини й виробнича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 xml:space="preserve">демократія </w:t>
      </w:r>
    </w:p>
    <w:p w14:paraId="38551B10" w14:textId="233FBF58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12.</w:t>
      </w:r>
      <w:r w:rsidRPr="00816E22">
        <w:rPr>
          <w:sz w:val="24"/>
          <w:szCs w:val="36"/>
        </w:rPr>
        <w:t xml:space="preserve"> Регулювання відносин із соціального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>діалогу в праві Європейського Союзу</w:t>
      </w:r>
    </w:p>
    <w:p w14:paraId="6926BEB0" w14:textId="38B852A0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13.</w:t>
      </w:r>
      <w:r w:rsidRPr="00816E22">
        <w:rPr>
          <w:sz w:val="24"/>
          <w:szCs w:val="36"/>
        </w:rPr>
        <w:t xml:space="preserve"> Право працівників Європейського</w:t>
      </w:r>
      <w:r w:rsidR="001C186B">
        <w:rPr>
          <w:sz w:val="24"/>
          <w:szCs w:val="36"/>
          <w:lang w:val="en-US"/>
        </w:rPr>
        <w:t xml:space="preserve"> </w:t>
      </w:r>
      <w:r w:rsidRPr="00816E22">
        <w:rPr>
          <w:sz w:val="24"/>
          <w:szCs w:val="36"/>
        </w:rPr>
        <w:t xml:space="preserve">Союзу на участь в управлінні підприємством </w:t>
      </w:r>
    </w:p>
    <w:p w14:paraId="0E6E65C5" w14:textId="455A070D" w:rsidR="00816E22" w:rsidRPr="00816E22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14.</w:t>
      </w:r>
      <w:r w:rsidRPr="00816E22">
        <w:rPr>
          <w:sz w:val="24"/>
          <w:szCs w:val="36"/>
        </w:rPr>
        <w:t xml:space="preserve"> Соціальне забезпечення в ЄС </w:t>
      </w:r>
    </w:p>
    <w:p w14:paraId="61D64B25" w14:textId="3C42E566" w:rsidR="008B5069" w:rsidRDefault="00816E22" w:rsidP="00816E22">
      <w:pPr>
        <w:spacing w:before="21" w:line="278" w:lineRule="auto"/>
        <w:ind w:right="149"/>
        <w:rPr>
          <w:sz w:val="24"/>
          <w:szCs w:val="36"/>
        </w:rPr>
      </w:pPr>
      <w:r w:rsidRPr="001C186B">
        <w:rPr>
          <w:b/>
          <w:bCs/>
          <w:sz w:val="24"/>
          <w:szCs w:val="36"/>
        </w:rPr>
        <w:t>Тема 15.</w:t>
      </w:r>
      <w:r w:rsidRPr="00816E22">
        <w:rPr>
          <w:sz w:val="24"/>
          <w:szCs w:val="36"/>
        </w:rPr>
        <w:t xml:space="preserve"> Пенсійні системи країн ЄС</w:t>
      </w:r>
      <w:r w:rsidR="008B5069">
        <w:rPr>
          <w:sz w:val="24"/>
          <w:szCs w:val="36"/>
        </w:rPr>
        <w:br w:type="page"/>
      </w:r>
    </w:p>
    <w:p w14:paraId="64293011" w14:textId="737905B1" w:rsidR="00E4423D" w:rsidRPr="00106DE6" w:rsidRDefault="008B5069" w:rsidP="008B5069">
      <w:pPr>
        <w:pStyle w:val="a3"/>
        <w:spacing w:after="160"/>
        <w:jc w:val="center"/>
        <w:rPr>
          <w:sz w:val="16"/>
          <w:szCs w:val="16"/>
          <w:lang w:val="ru-RU"/>
        </w:rPr>
      </w:pPr>
      <w:r w:rsidRPr="003C4A2A">
        <w:rPr>
          <w:b/>
          <w:bCs/>
          <w:sz w:val="28"/>
          <w:szCs w:val="28"/>
          <w:lang w:val="uk-UA"/>
        </w:rPr>
        <w:lastRenderedPageBreak/>
        <w:t>Правові основи інвестиційної діяльності</w:t>
      </w: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8B5069" w:rsidRPr="00DD5AF3" w14:paraId="178C6640" w14:textId="77777777" w:rsidTr="00805142">
        <w:trPr>
          <w:trHeight w:val="371"/>
        </w:trPr>
        <w:tc>
          <w:tcPr>
            <w:tcW w:w="4117" w:type="dxa"/>
          </w:tcPr>
          <w:p w14:paraId="7C45E884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20F5FA34" w14:textId="1EEA7517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перший</w:t>
            </w:r>
            <w:r w:rsidRPr="00B618C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бакалаврський</w:t>
            </w:r>
            <w:r w:rsidRPr="00B618CE">
              <w:rPr>
                <w:sz w:val="28"/>
                <w:szCs w:val="28"/>
              </w:rPr>
              <w:t>)</w:t>
            </w:r>
          </w:p>
        </w:tc>
      </w:tr>
      <w:tr w:rsidR="008B5069" w:rsidRPr="00DD5AF3" w14:paraId="5339B8A5" w14:textId="77777777" w:rsidTr="00805142">
        <w:trPr>
          <w:trHeight w:val="369"/>
        </w:trPr>
        <w:tc>
          <w:tcPr>
            <w:tcW w:w="4117" w:type="dxa"/>
          </w:tcPr>
          <w:p w14:paraId="003B5210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7EC7D4C0" w14:textId="01634F82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5069" w:rsidRPr="00DD5AF3" w14:paraId="3B23D989" w14:textId="77777777" w:rsidTr="00805142">
        <w:trPr>
          <w:trHeight w:val="371"/>
        </w:trPr>
        <w:tc>
          <w:tcPr>
            <w:tcW w:w="4117" w:type="dxa"/>
          </w:tcPr>
          <w:p w14:paraId="686D7392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49F79BE1" w14:textId="1696A0F4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весняний</w:t>
            </w:r>
          </w:p>
        </w:tc>
      </w:tr>
      <w:tr w:rsidR="008B5069" w:rsidRPr="00DD5AF3" w14:paraId="594ACB6E" w14:textId="77777777" w:rsidTr="00805142">
        <w:trPr>
          <w:trHeight w:val="369"/>
        </w:trPr>
        <w:tc>
          <w:tcPr>
            <w:tcW w:w="4117" w:type="dxa"/>
          </w:tcPr>
          <w:p w14:paraId="695D2B98" w14:textId="067C8D39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632" w:type="dxa"/>
          </w:tcPr>
          <w:p w14:paraId="365E435B" w14:textId="1EA04B7C" w:rsidR="008B5069" w:rsidRPr="00DD5AF3" w:rsidRDefault="008B5069" w:rsidP="008B506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 </w:t>
            </w:r>
            <w:proofErr w:type="spellStart"/>
            <w:r>
              <w:rPr>
                <w:sz w:val="28"/>
                <w:szCs w:val="28"/>
                <w:lang w:val="ru-RU"/>
              </w:rPr>
              <w:t>кредити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ЄКТС</w:t>
            </w:r>
          </w:p>
        </w:tc>
      </w:tr>
      <w:tr w:rsidR="00E4423D" w:rsidRPr="00DD5AF3" w14:paraId="0411A82F" w14:textId="77777777" w:rsidTr="00805142">
        <w:trPr>
          <w:trHeight w:val="369"/>
        </w:trPr>
        <w:tc>
          <w:tcPr>
            <w:tcW w:w="4117" w:type="dxa"/>
          </w:tcPr>
          <w:p w14:paraId="256B1ED8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198AFCD1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618CE">
              <w:rPr>
                <w:sz w:val="28"/>
                <w:szCs w:val="28"/>
              </w:rPr>
              <w:t>українська</w:t>
            </w:r>
          </w:p>
        </w:tc>
      </w:tr>
      <w:tr w:rsidR="00E4423D" w:rsidRPr="00DD5AF3" w14:paraId="6B8C34F6" w14:textId="77777777" w:rsidTr="00805142">
        <w:trPr>
          <w:trHeight w:val="645"/>
        </w:trPr>
        <w:tc>
          <w:tcPr>
            <w:tcW w:w="4117" w:type="dxa"/>
          </w:tcPr>
          <w:p w14:paraId="346DC6C7" w14:textId="77777777" w:rsidR="00E4423D" w:rsidRPr="00DD5AF3" w:rsidRDefault="00E4423D" w:rsidP="0080514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Передумови для вивчення</w:t>
            </w:r>
          </w:p>
          <w:p w14:paraId="726F8081" w14:textId="77777777" w:rsidR="00E4423D" w:rsidRPr="00DD5AF3" w:rsidRDefault="00E4423D" w:rsidP="0080514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3AA1C841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490E6F">
              <w:rPr>
                <w:sz w:val="28"/>
                <w:szCs w:val="28"/>
              </w:rPr>
              <w:t>Базові знання з правознавства</w:t>
            </w:r>
          </w:p>
        </w:tc>
      </w:tr>
      <w:tr w:rsidR="00E4423D" w:rsidRPr="00DD5AF3" w14:paraId="2075B465" w14:textId="77777777" w:rsidTr="00805142">
        <w:trPr>
          <w:trHeight w:val="642"/>
        </w:trPr>
        <w:tc>
          <w:tcPr>
            <w:tcW w:w="4117" w:type="dxa"/>
          </w:tcPr>
          <w:p w14:paraId="7CD8A8EA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1ED51A69" w14:textId="77777777" w:rsidR="00E4423D" w:rsidRPr="00DD5AF3" w:rsidRDefault="00E4423D" w:rsidP="00805142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7062FC4B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Кафедра господарського права</w:t>
            </w:r>
          </w:p>
        </w:tc>
      </w:tr>
      <w:tr w:rsidR="00E4423D" w:rsidRPr="00DD5AF3" w14:paraId="296DCDA7" w14:textId="77777777" w:rsidTr="00805142">
        <w:trPr>
          <w:trHeight w:val="371"/>
        </w:trPr>
        <w:tc>
          <w:tcPr>
            <w:tcW w:w="4117" w:type="dxa"/>
          </w:tcPr>
          <w:p w14:paraId="5E9656F0" w14:textId="77777777" w:rsidR="00E4423D" w:rsidRPr="00DD5AF3" w:rsidRDefault="00E4423D" w:rsidP="00805142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89223A2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Робоча програма, лекції, навчально-методичні рекомендації</w:t>
            </w:r>
          </w:p>
        </w:tc>
      </w:tr>
      <w:tr w:rsidR="00E4423D" w:rsidRPr="00DD5AF3" w14:paraId="4EC5BEF6" w14:textId="77777777" w:rsidTr="00805142">
        <w:trPr>
          <w:trHeight w:val="369"/>
        </w:trPr>
        <w:tc>
          <w:tcPr>
            <w:tcW w:w="4117" w:type="dxa"/>
          </w:tcPr>
          <w:p w14:paraId="7477444D" w14:textId="77777777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1E842680" w14:textId="77777777" w:rsidR="00E4423D" w:rsidRPr="00DD5AF3" w:rsidRDefault="00E4423D" w:rsidP="00805142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Лекції, семінари</w:t>
            </w:r>
          </w:p>
        </w:tc>
      </w:tr>
      <w:tr w:rsidR="00E4423D" w:rsidRPr="00DD5AF3" w14:paraId="2831A40A" w14:textId="77777777" w:rsidTr="00805142">
        <w:trPr>
          <w:trHeight w:val="371"/>
        </w:trPr>
        <w:tc>
          <w:tcPr>
            <w:tcW w:w="4117" w:type="dxa"/>
          </w:tcPr>
          <w:p w14:paraId="133BC1A1" w14:textId="73426785" w:rsidR="00E4423D" w:rsidRPr="00DD5AF3" w:rsidRDefault="00E4423D" w:rsidP="00805142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632" w:type="dxa"/>
          </w:tcPr>
          <w:p w14:paraId="7680044B" w14:textId="77777777" w:rsidR="00E4423D" w:rsidRPr="00DD5AF3" w:rsidRDefault="00E4423D" w:rsidP="00805142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залік</w:t>
            </w:r>
          </w:p>
        </w:tc>
      </w:tr>
    </w:tbl>
    <w:p w14:paraId="136ED19A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</w:p>
    <w:p w14:paraId="1D6BBCBE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b/>
          <w:sz w:val="24"/>
          <w:szCs w:val="24"/>
        </w:rPr>
      </w:pPr>
      <w:r w:rsidRPr="00DD2031">
        <w:rPr>
          <w:b/>
          <w:sz w:val="24"/>
          <w:szCs w:val="24"/>
        </w:rPr>
        <w:t>Ключові результати навчання (знання, уміння та інші компетентності):</w:t>
      </w:r>
    </w:p>
    <w:p w14:paraId="4934768D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 xml:space="preserve"> У результаті вивчення навчальної дисципліни студент повинен:</w:t>
      </w:r>
    </w:p>
    <w:p w14:paraId="7CB4DB88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i/>
          <w:iCs/>
          <w:sz w:val="24"/>
          <w:szCs w:val="24"/>
        </w:rPr>
      </w:pPr>
      <w:r w:rsidRPr="00DD2031">
        <w:rPr>
          <w:i/>
          <w:iCs/>
          <w:sz w:val="24"/>
          <w:szCs w:val="24"/>
        </w:rPr>
        <w:t xml:space="preserve">    знати:</w:t>
      </w:r>
    </w:p>
    <w:p w14:paraId="4156E838" w14:textId="77777777" w:rsidR="00E4423D" w:rsidRPr="00DD2031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>положення актів інвестиційного законодавства України та міжнародних договорів щодо правового регулювання договірних та недоговірних зобов’язань, підприємницької діяльності;</w:t>
      </w:r>
    </w:p>
    <w:p w14:paraId="3E1770E7" w14:textId="77777777" w:rsidR="00E4423D" w:rsidRPr="00DD2031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>основні положення правової доктрини з питань інвестиційного права;</w:t>
      </w:r>
    </w:p>
    <w:p w14:paraId="24532F7A" w14:textId="77777777" w:rsidR="00E4423D" w:rsidRPr="00DD2031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>підходи судової практики щодо тлумачення і застосування законодавства України, що регулюють інвестиційні зобов’язання,</w:t>
      </w:r>
    </w:p>
    <w:p w14:paraId="265121D4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i/>
          <w:iCs/>
          <w:sz w:val="24"/>
          <w:szCs w:val="24"/>
        </w:rPr>
      </w:pPr>
      <w:r w:rsidRPr="00DD2031">
        <w:rPr>
          <w:b/>
          <w:bCs/>
          <w:sz w:val="24"/>
          <w:szCs w:val="24"/>
        </w:rPr>
        <w:t xml:space="preserve">    </w:t>
      </w:r>
      <w:r w:rsidRPr="00DD2031">
        <w:rPr>
          <w:i/>
          <w:iCs/>
          <w:sz w:val="24"/>
          <w:szCs w:val="24"/>
        </w:rPr>
        <w:t>вміти:</w:t>
      </w:r>
    </w:p>
    <w:p w14:paraId="118B98F0" w14:textId="77777777" w:rsidR="00E4423D" w:rsidRPr="00DD2031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 xml:space="preserve">правильно тлумачити інвестиційно-правові норми; </w:t>
      </w:r>
    </w:p>
    <w:p w14:paraId="3376D746" w14:textId="77777777" w:rsidR="00E4423D" w:rsidRPr="00DD2031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>застосовувати господарсько-правові норми для вирішення конкретних практичних ситуацій (казусів);</w:t>
      </w:r>
    </w:p>
    <w:p w14:paraId="712D7916" w14:textId="77777777" w:rsidR="00E4423D" w:rsidRDefault="00E4423D" w:rsidP="00E4423D">
      <w:pPr>
        <w:numPr>
          <w:ilvl w:val="0"/>
          <w:numId w:val="4"/>
        </w:num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  <w:r w:rsidRPr="00DD2031">
        <w:rPr>
          <w:sz w:val="24"/>
          <w:szCs w:val="24"/>
        </w:rPr>
        <w:t>складати проекти інвестиційних договорів та інших документів., що виникають у процесі використання норм інвестиційного права та його захисту.</w:t>
      </w:r>
    </w:p>
    <w:p w14:paraId="788B26F7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ind w:left="502"/>
        <w:rPr>
          <w:sz w:val="24"/>
          <w:szCs w:val="24"/>
        </w:rPr>
      </w:pPr>
    </w:p>
    <w:p w14:paraId="0D62DA2E" w14:textId="77777777" w:rsidR="00E4423D" w:rsidRPr="00DD2031" w:rsidRDefault="00E4423D" w:rsidP="00E4423D">
      <w:pPr>
        <w:shd w:val="clear" w:color="auto" w:fill="FFFFFF"/>
        <w:tabs>
          <w:tab w:val="left" w:pos="12240"/>
        </w:tabs>
        <w:adjustRightInd w:val="0"/>
        <w:rPr>
          <w:b/>
          <w:sz w:val="24"/>
          <w:szCs w:val="24"/>
        </w:rPr>
      </w:pPr>
      <w:r w:rsidRPr="00DD2031">
        <w:rPr>
          <w:b/>
          <w:sz w:val="24"/>
          <w:szCs w:val="24"/>
        </w:rPr>
        <w:t>Короткий зміст дисципліни (що буде вивчатися, перелік тем):</w:t>
      </w:r>
    </w:p>
    <w:tbl>
      <w:tblPr>
        <w:tblW w:w="9781" w:type="dxa"/>
        <w:tblLook w:val="01E0" w:firstRow="1" w:lastRow="1" w:firstColumn="1" w:lastColumn="1" w:noHBand="0" w:noVBand="0"/>
      </w:tblPr>
      <w:tblGrid>
        <w:gridCol w:w="9781"/>
      </w:tblGrid>
      <w:tr w:rsidR="00E4423D" w:rsidRPr="00DD2031" w14:paraId="7BFE345E" w14:textId="77777777" w:rsidTr="00805142">
        <w:tc>
          <w:tcPr>
            <w:tcW w:w="6839" w:type="dxa"/>
          </w:tcPr>
          <w:p w14:paraId="2458C159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 1. Правовий режим іноземного інвестування.</w:t>
            </w:r>
          </w:p>
        </w:tc>
      </w:tr>
      <w:tr w:rsidR="00E4423D" w:rsidRPr="00DD2031" w14:paraId="4A41B6B0" w14:textId="77777777" w:rsidTr="00805142">
        <w:tc>
          <w:tcPr>
            <w:tcW w:w="6839" w:type="dxa"/>
          </w:tcPr>
          <w:p w14:paraId="622BED76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 2. Проблемні питання залучення іноземних інвестицій в Україну.</w:t>
            </w:r>
          </w:p>
        </w:tc>
      </w:tr>
      <w:tr w:rsidR="00E4423D" w:rsidRPr="00DD2031" w14:paraId="63CDF65F" w14:textId="77777777" w:rsidTr="00805142">
        <w:tc>
          <w:tcPr>
            <w:tcW w:w="6839" w:type="dxa"/>
          </w:tcPr>
          <w:p w14:paraId="560A4A37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 3. Правовий статус підприємств з іноземними інвестиціями.</w:t>
            </w:r>
          </w:p>
        </w:tc>
      </w:tr>
      <w:tr w:rsidR="00E4423D" w:rsidRPr="00DD2031" w14:paraId="7104B5C9" w14:textId="77777777" w:rsidTr="00805142">
        <w:tc>
          <w:tcPr>
            <w:tcW w:w="6839" w:type="dxa"/>
          </w:tcPr>
          <w:p w14:paraId="6F7184E8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 4. Правове регулювання базових умов здійснення інвестиційної діяльності</w:t>
            </w:r>
          </w:p>
        </w:tc>
      </w:tr>
      <w:tr w:rsidR="00E4423D" w:rsidRPr="00DD2031" w14:paraId="1D5CEE1E" w14:textId="77777777" w:rsidTr="00805142">
        <w:tc>
          <w:tcPr>
            <w:tcW w:w="6839" w:type="dxa"/>
          </w:tcPr>
          <w:p w14:paraId="5CBEC373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 5. Правове регулювання дозвільної системи у сфері інвестування</w:t>
            </w:r>
          </w:p>
        </w:tc>
      </w:tr>
      <w:tr w:rsidR="00E4423D" w:rsidRPr="00DD2031" w14:paraId="3BDD40BE" w14:textId="77777777" w:rsidTr="00805142">
        <w:tc>
          <w:tcPr>
            <w:tcW w:w="6839" w:type="dxa"/>
          </w:tcPr>
          <w:p w14:paraId="1127B87D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ind w:left="890" w:hanging="890"/>
              <w:rPr>
                <w:b/>
                <w:bCs/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 6. Система і правовий статус органів державного управління інвестиційною діяльністю</w:t>
            </w:r>
          </w:p>
        </w:tc>
      </w:tr>
      <w:tr w:rsidR="00E4423D" w:rsidRPr="00DD2031" w14:paraId="33B5E112" w14:textId="77777777" w:rsidTr="00805142">
        <w:tc>
          <w:tcPr>
            <w:tcW w:w="6839" w:type="dxa"/>
          </w:tcPr>
          <w:p w14:paraId="32098EBE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b/>
                <w:bCs/>
                <w:sz w:val="24"/>
                <w:szCs w:val="24"/>
                <w:u w:val="single"/>
              </w:rPr>
            </w:pPr>
            <w:r w:rsidRPr="00DD2031">
              <w:rPr>
                <w:sz w:val="24"/>
                <w:szCs w:val="24"/>
              </w:rPr>
              <w:t>Тема 7. Концесійне інвестування.</w:t>
            </w:r>
          </w:p>
        </w:tc>
      </w:tr>
      <w:tr w:rsidR="00E4423D" w:rsidRPr="00DD2031" w14:paraId="7DDB86C3" w14:textId="77777777" w:rsidTr="00805142">
        <w:tc>
          <w:tcPr>
            <w:tcW w:w="6839" w:type="dxa"/>
          </w:tcPr>
          <w:p w14:paraId="63884568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>Тема 8. Правове регулювання спеціального режиму інвестування</w:t>
            </w:r>
          </w:p>
        </w:tc>
      </w:tr>
      <w:tr w:rsidR="00E4423D" w:rsidRPr="00DD2031" w14:paraId="1950D7C0" w14:textId="77777777" w:rsidTr="00805142">
        <w:tc>
          <w:tcPr>
            <w:tcW w:w="6839" w:type="dxa"/>
          </w:tcPr>
          <w:p w14:paraId="69CDDAD4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 xml:space="preserve">Тема 9. Правове регулювання підтримки інвестиційної діяльності </w:t>
            </w:r>
          </w:p>
        </w:tc>
      </w:tr>
      <w:tr w:rsidR="00E4423D" w:rsidRPr="00DD2031" w14:paraId="1C2D45C4" w14:textId="77777777" w:rsidTr="00805142">
        <w:tc>
          <w:tcPr>
            <w:tcW w:w="6839" w:type="dxa"/>
          </w:tcPr>
          <w:p w14:paraId="4D71A755" w14:textId="77777777" w:rsidR="00E4423D" w:rsidRPr="00DD2031" w:rsidRDefault="00E4423D" w:rsidP="00805142">
            <w:pPr>
              <w:shd w:val="clear" w:color="auto" w:fill="FFFFFF"/>
              <w:tabs>
                <w:tab w:val="left" w:pos="12240"/>
              </w:tabs>
              <w:adjustRightInd w:val="0"/>
              <w:rPr>
                <w:sz w:val="24"/>
                <w:szCs w:val="24"/>
              </w:rPr>
            </w:pPr>
            <w:r w:rsidRPr="00DD2031">
              <w:rPr>
                <w:sz w:val="24"/>
                <w:szCs w:val="24"/>
              </w:rPr>
              <w:t xml:space="preserve">Тема 10. Здійснення регулювання державно-приватного партнерства </w:t>
            </w:r>
          </w:p>
        </w:tc>
      </w:tr>
    </w:tbl>
    <w:p w14:paraId="0FDA3A89" w14:textId="77777777" w:rsidR="00E4423D" w:rsidRDefault="00E4423D" w:rsidP="00E4423D">
      <w:pPr>
        <w:spacing w:after="160" w:line="259" w:lineRule="auto"/>
        <w:ind w:right="0"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3E360B1" w14:textId="12C819FE" w:rsidR="00860CEE" w:rsidRPr="00870ED3" w:rsidRDefault="00374B36" w:rsidP="00374B36">
      <w:pPr>
        <w:pStyle w:val="a3"/>
        <w:spacing w:after="160"/>
        <w:jc w:val="center"/>
        <w:rPr>
          <w:sz w:val="16"/>
          <w:szCs w:val="16"/>
          <w:lang w:val="ru-RU"/>
        </w:rPr>
      </w:pPr>
      <w:r w:rsidRPr="00374B36">
        <w:rPr>
          <w:b/>
          <w:bCs/>
          <w:sz w:val="28"/>
          <w:szCs w:val="28"/>
          <w:lang w:val="uk-UA"/>
        </w:rPr>
        <w:lastRenderedPageBreak/>
        <w:t>Бізнес і права людини</w:t>
      </w:r>
    </w:p>
    <w:tbl>
      <w:tblPr>
        <w:tblW w:w="9749" w:type="dxa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7"/>
        <w:gridCol w:w="5632"/>
      </w:tblGrid>
      <w:tr w:rsidR="008B5069" w:rsidRPr="00DD5AF3" w14:paraId="322A5D14" w14:textId="77777777" w:rsidTr="002D31BD">
        <w:trPr>
          <w:trHeight w:val="371"/>
        </w:trPr>
        <w:tc>
          <w:tcPr>
            <w:tcW w:w="4117" w:type="dxa"/>
          </w:tcPr>
          <w:p w14:paraId="76F30A88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Рівень вищої освіти</w:t>
            </w:r>
          </w:p>
        </w:tc>
        <w:tc>
          <w:tcPr>
            <w:tcW w:w="5632" w:type="dxa"/>
          </w:tcPr>
          <w:p w14:paraId="64E7F838" w14:textId="59A48A75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перший</w:t>
            </w:r>
            <w:r w:rsidRPr="00B618C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бакалаврський</w:t>
            </w:r>
            <w:r w:rsidRPr="00B618CE">
              <w:rPr>
                <w:sz w:val="28"/>
                <w:szCs w:val="28"/>
              </w:rPr>
              <w:t>)</w:t>
            </w:r>
          </w:p>
        </w:tc>
      </w:tr>
      <w:tr w:rsidR="008B5069" w:rsidRPr="00DD5AF3" w14:paraId="507F752C" w14:textId="77777777" w:rsidTr="002D31BD">
        <w:trPr>
          <w:trHeight w:val="369"/>
        </w:trPr>
        <w:tc>
          <w:tcPr>
            <w:tcW w:w="4117" w:type="dxa"/>
          </w:tcPr>
          <w:p w14:paraId="1E418EDA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Курс (рік) навчання</w:t>
            </w:r>
          </w:p>
        </w:tc>
        <w:tc>
          <w:tcPr>
            <w:tcW w:w="5632" w:type="dxa"/>
          </w:tcPr>
          <w:p w14:paraId="5411F8B7" w14:textId="4BC47E7E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B5069" w:rsidRPr="00DD5AF3" w14:paraId="6DDBB10B" w14:textId="77777777" w:rsidTr="002D31BD">
        <w:trPr>
          <w:trHeight w:val="371"/>
        </w:trPr>
        <w:tc>
          <w:tcPr>
            <w:tcW w:w="4117" w:type="dxa"/>
          </w:tcPr>
          <w:p w14:paraId="44BEFA04" w14:textId="77777777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Семестр</w:t>
            </w:r>
          </w:p>
        </w:tc>
        <w:tc>
          <w:tcPr>
            <w:tcW w:w="5632" w:type="dxa"/>
          </w:tcPr>
          <w:p w14:paraId="6D8A4DE8" w14:textId="3A58A59D" w:rsidR="008B5069" w:rsidRPr="00DD5AF3" w:rsidRDefault="008B5069" w:rsidP="008B5069">
            <w:pPr>
              <w:pStyle w:val="TableParagraph"/>
              <w:ind w:left="11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весняний</w:t>
            </w:r>
          </w:p>
        </w:tc>
      </w:tr>
      <w:tr w:rsidR="008B5069" w:rsidRPr="00DD5AF3" w14:paraId="6F82171F" w14:textId="77777777" w:rsidTr="002D31BD">
        <w:trPr>
          <w:trHeight w:val="369"/>
        </w:trPr>
        <w:tc>
          <w:tcPr>
            <w:tcW w:w="4117" w:type="dxa"/>
          </w:tcPr>
          <w:p w14:paraId="2023E544" w14:textId="6A01D08F" w:rsidR="008B5069" w:rsidRPr="00DD5AF3" w:rsidRDefault="008B5069" w:rsidP="008B5069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Обсяг дисципліни у кредитах</w:t>
            </w:r>
          </w:p>
        </w:tc>
        <w:tc>
          <w:tcPr>
            <w:tcW w:w="5632" w:type="dxa"/>
          </w:tcPr>
          <w:p w14:paraId="1C1F1555" w14:textId="3B37E2BA" w:rsidR="008B5069" w:rsidRPr="00DD5AF3" w:rsidRDefault="008B5069" w:rsidP="008B5069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4 </w:t>
            </w:r>
            <w:proofErr w:type="spellStart"/>
            <w:r>
              <w:rPr>
                <w:sz w:val="28"/>
                <w:szCs w:val="28"/>
                <w:lang w:val="ru-RU"/>
              </w:rPr>
              <w:t>кредити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ЄКТС</w:t>
            </w:r>
          </w:p>
        </w:tc>
      </w:tr>
      <w:tr w:rsidR="00860CEE" w:rsidRPr="00DD5AF3" w14:paraId="313EA9F0" w14:textId="77777777" w:rsidTr="002D31BD">
        <w:trPr>
          <w:trHeight w:val="369"/>
        </w:trPr>
        <w:tc>
          <w:tcPr>
            <w:tcW w:w="4117" w:type="dxa"/>
          </w:tcPr>
          <w:p w14:paraId="6CBDF7C5" w14:textId="77777777" w:rsidR="00860CEE" w:rsidRPr="00DD5AF3" w:rsidRDefault="00860CEE" w:rsidP="002D31BD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Мова викладання</w:t>
            </w:r>
          </w:p>
        </w:tc>
        <w:tc>
          <w:tcPr>
            <w:tcW w:w="5632" w:type="dxa"/>
          </w:tcPr>
          <w:p w14:paraId="4ED735FA" w14:textId="77777777" w:rsidR="00860CEE" w:rsidRPr="00DD5AF3" w:rsidRDefault="00860CEE" w:rsidP="002D31BD">
            <w:pPr>
              <w:pStyle w:val="TableParagraph"/>
              <w:ind w:left="111"/>
              <w:rPr>
                <w:sz w:val="28"/>
                <w:szCs w:val="28"/>
                <w:lang w:val="ru-RU"/>
              </w:rPr>
            </w:pPr>
            <w:r w:rsidRPr="00B618CE">
              <w:rPr>
                <w:sz w:val="28"/>
                <w:szCs w:val="28"/>
              </w:rPr>
              <w:t>українська</w:t>
            </w:r>
          </w:p>
        </w:tc>
      </w:tr>
      <w:tr w:rsidR="00860CEE" w:rsidRPr="00DD5AF3" w14:paraId="4634CC3A" w14:textId="77777777" w:rsidTr="002D31BD">
        <w:trPr>
          <w:trHeight w:val="645"/>
        </w:trPr>
        <w:tc>
          <w:tcPr>
            <w:tcW w:w="4117" w:type="dxa"/>
          </w:tcPr>
          <w:p w14:paraId="4C0A282A" w14:textId="77777777" w:rsidR="00860CEE" w:rsidRPr="00DD5AF3" w:rsidRDefault="00860CEE" w:rsidP="002D31BD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Передумови для вивчення</w:t>
            </w:r>
          </w:p>
          <w:p w14:paraId="3CB3B424" w14:textId="77777777" w:rsidR="00860CEE" w:rsidRPr="00DD5AF3" w:rsidRDefault="00860CEE" w:rsidP="002D31BD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дисципліни</w:t>
            </w:r>
          </w:p>
        </w:tc>
        <w:tc>
          <w:tcPr>
            <w:tcW w:w="5632" w:type="dxa"/>
          </w:tcPr>
          <w:p w14:paraId="55129D99" w14:textId="77777777" w:rsidR="00860CEE" w:rsidRPr="00DD5AF3" w:rsidRDefault="00860CEE" w:rsidP="002D31BD">
            <w:pPr>
              <w:pStyle w:val="TableParagraph"/>
              <w:ind w:left="111"/>
              <w:rPr>
                <w:sz w:val="28"/>
                <w:szCs w:val="28"/>
              </w:rPr>
            </w:pPr>
            <w:r w:rsidRPr="00490E6F">
              <w:rPr>
                <w:sz w:val="28"/>
                <w:szCs w:val="28"/>
              </w:rPr>
              <w:t>Базові знання з правознавства</w:t>
            </w:r>
          </w:p>
        </w:tc>
      </w:tr>
      <w:tr w:rsidR="00860CEE" w:rsidRPr="00DD5AF3" w14:paraId="21A1AE27" w14:textId="77777777" w:rsidTr="002D31BD">
        <w:trPr>
          <w:trHeight w:val="642"/>
        </w:trPr>
        <w:tc>
          <w:tcPr>
            <w:tcW w:w="4117" w:type="dxa"/>
          </w:tcPr>
          <w:p w14:paraId="728B9825" w14:textId="77777777" w:rsidR="00860CEE" w:rsidRPr="00DD5AF3" w:rsidRDefault="00860CEE" w:rsidP="002D31BD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Кафедра, яка забезпечує</w:t>
            </w:r>
          </w:p>
          <w:p w14:paraId="7058C3CA" w14:textId="77777777" w:rsidR="00860CEE" w:rsidRPr="00DD5AF3" w:rsidRDefault="00860CEE" w:rsidP="002D31BD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викладання дисципліни</w:t>
            </w:r>
          </w:p>
        </w:tc>
        <w:tc>
          <w:tcPr>
            <w:tcW w:w="5632" w:type="dxa"/>
          </w:tcPr>
          <w:p w14:paraId="185C226F" w14:textId="77777777" w:rsidR="00860CEE" w:rsidRPr="00DD5AF3" w:rsidRDefault="00860CEE" w:rsidP="002D31BD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Кафедра господарського права</w:t>
            </w:r>
          </w:p>
        </w:tc>
      </w:tr>
      <w:tr w:rsidR="00860CEE" w:rsidRPr="00DD5AF3" w14:paraId="0915EE26" w14:textId="77777777" w:rsidTr="002D31BD">
        <w:trPr>
          <w:trHeight w:val="371"/>
        </w:trPr>
        <w:tc>
          <w:tcPr>
            <w:tcW w:w="4117" w:type="dxa"/>
          </w:tcPr>
          <w:p w14:paraId="52A2DFFD" w14:textId="77777777" w:rsidR="00860CEE" w:rsidRPr="00DD5AF3" w:rsidRDefault="00860CEE" w:rsidP="002D31BD">
            <w:pPr>
              <w:pStyle w:val="TableParagraph"/>
              <w:spacing w:line="317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5632" w:type="dxa"/>
          </w:tcPr>
          <w:p w14:paraId="4D77D43C" w14:textId="77777777" w:rsidR="00860CEE" w:rsidRPr="00DD5AF3" w:rsidRDefault="00860CEE" w:rsidP="002D31BD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Робоча програма, лекції, навчально-методичні рекомендації</w:t>
            </w:r>
          </w:p>
        </w:tc>
      </w:tr>
      <w:tr w:rsidR="00860CEE" w:rsidRPr="00DD5AF3" w14:paraId="712C3FDD" w14:textId="77777777" w:rsidTr="002D31BD">
        <w:trPr>
          <w:trHeight w:val="369"/>
        </w:trPr>
        <w:tc>
          <w:tcPr>
            <w:tcW w:w="4117" w:type="dxa"/>
          </w:tcPr>
          <w:p w14:paraId="295DCDF2" w14:textId="77777777" w:rsidR="00860CEE" w:rsidRPr="00DD5AF3" w:rsidRDefault="00860CEE" w:rsidP="002D31BD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проведення занять</w:t>
            </w:r>
          </w:p>
        </w:tc>
        <w:tc>
          <w:tcPr>
            <w:tcW w:w="5632" w:type="dxa"/>
          </w:tcPr>
          <w:p w14:paraId="0EB281DA" w14:textId="77777777" w:rsidR="00860CEE" w:rsidRPr="00DD5AF3" w:rsidRDefault="00860CEE" w:rsidP="002D31BD">
            <w:pPr>
              <w:pStyle w:val="TableParagraph"/>
              <w:ind w:left="111"/>
              <w:rPr>
                <w:sz w:val="28"/>
                <w:szCs w:val="28"/>
              </w:rPr>
            </w:pPr>
            <w:r w:rsidRPr="00B618CE">
              <w:rPr>
                <w:sz w:val="28"/>
                <w:szCs w:val="28"/>
              </w:rPr>
              <w:t>Лекції, семінари</w:t>
            </w:r>
          </w:p>
        </w:tc>
      </w:tr>
      <w:tr w:rsidR="00860CEE" w:rsidRPr="00DD5AF3" w14:paraId="1224110F" w14:textId="77777777" w:rsidTr="002D31BD">
        <w:trPr>
          <w:trHeight w:val="371"/>
        </w:trPr>
        <w:tc>
          <w:tcPr>
            <w:tcW w:w="4117" w:type="dxa"/>
          </w:tcPr>
          <w:p w14:paraId="499AFFEA" w14:textId="62AAF9BB" w:rsidR="00860CEE" w:rsidRPr="00DD5AF3" w:rsidRDefault="00860CEE" w:rsidP="002D31BD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DD5AF3">
              <w:rPr>
                <w:sz w:val="28"/>
                <w:szCs w:val="28"/>
              </w:rPr>
              <w:t>Форма семестрового контролю</w:t>
            </w:r>
          </w:p>
        </w:tc>
        <w:tc>
          <w:tcPr>
            <w:tcW w:w="5632" w:type="dxa"/>
          </w:tcPr>
          <w:p w14:paraId="5A588CF2" w14:textId="77777777" w:rsidR="00860CEE" w:rsidRPr="00DD5AF3" w:rsidRDefault="00860CEE" w:rsidP="002D31BD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залік</w:t>
            </w:r>
          </w:p>
        </w:tc>
      </w:tr>
    </w:tbl>
    <w:p w14:paraId="52C9A537" w14:textId="3D4A08F3" w:rsidR="00860CEE" w:rsidRDefault="00860CEE" w:rsidP="00AA4367">
      <w:pPr>
        <w:shd w:val="clear" w:color="auto" w:fill="FFFFFF"/>
        <w:tabs>
          <w:tab w:val="left" w:pos="12240"/>
        </w:tabs>
        <w:adjustRightInd w:val="0"/>
        <w:rPr>
          <w:sz w:val="24"/>
          <w:szCs w:val="24"/>
        </w:rPr>
      </w:pPr>
    </w:p>
    <w:p w14:paraId="50D472D6" w14:textId="77777777" w:rsidR="00374B36" w:rsidRDefault="00374B36" w:rsidP="00374B36">
      <w:pPr>
        <w:spacing w:before="21" w:line="276" w:lineRule="auto"/>
        <w:ind w:right="149" w:firstLine="567"/>
        <w:rPr>
          <w:rFonts w:eastAsia="Times New Roman"/>
          <w:sz w:val="20"/>
          <w:szCs w:val="20"/>
        </w:rPr>
      </w:pPr>
      <w:r>
        <w:rPr>
          <w:b/>
          <w:sz w:val="24"/>
        </w:rPr>
        <w:t>Ключові результати навчання (знання, уміння та інші компетентності):</w:t>
      </w:r>
    </w:p>
    <w:p w14:paraId="014649BF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sz w:val="24"/>
        </w:rPr>
        <w:t xml:space="preserve">- Здатність до абстрактного мислення, аналізу та синтезу; </w:t>
      </w:r>
    </w:p>
    <w:p w14:paraId="0087DB3D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sz w:val="24"/>
        </w:rPr>
        <w:t xml:space="preserve">- Здатність проводити дослідження на відповідному рівні;  </w:t>
      </w:r>
    </w:p>
    <w:p w14:paraId="76F26523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sz w:val="24"/>
        </w:rPr>
        <w:t xml:space="preserve">- Здатність оцінювати взаємодію міжнародного права та міжнародних правових систем з правовою системою України; </w:t>
      </w:r>
    </w:p>
    <w:p w14:paraId="4C1EDAF9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sz w:val="24"/>
        </w:rPr>
        <w:t xml:space="preserve">- Здатність обґрунтовувати та мотивувати правові рішення, давати розгорнуту юридичну аргументацію; </w:t>
      </w:r>
    </w:p>
    <w:p w14:paraId="56C3594C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sz w:val="24"/>
        </w:rPr>
        <w:t>-</w:t>
      </w:r>
      <w:bookmarkStart w:id="0" w:name="_dx_frag_StartFragment"/>
      <w:bookmarkEnd w:id="0"/>
      <w:r>
        <w:rPr>
          <w:sz w:val="24"/>
        </w:rPr>
        <w:t xml:space="preserve"> Здатність застосовувати міждисциплінарний підхід в оцінці правових явищ та правозастосовній діяльності.  </w:t>
      </w:r>
    </w:p>
    <w:p w14:paraId="1F45A675" w14:textId="77777777" w:rsidR="00374B36" w:rsidRDefault="00374B36" w:rsidP="00374B36">
      <w:pPr>
        <w:spacing w:before="21" w:line="276" w:lineRule="auto"/>
        <w:ind w:right="149" w:firstLine="567"/>
        <w:rPr>
          <w:b/>
          <w:sz w:val="24"/>
        </w:rPr>
      </w:pPr>
      <w:r>
        <w:rPr>
          <w:b/>
          <w:sz w:val="24"/>
        </w:rPr>
        <w:t>Короткий зміст дисципліни (що буде вивчатися, перелік тем):</w:t>
      </w:r>
    </w:p>
    <w:p w14:paraId="4E0F94EB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 1</w:t>
      </w:r>
      <w:r>
        <w:rPr>
          <w:sz w:val="24"/>
        </w:rPr>
        <w:t xml:space="preserve">. Передумови та етапи розвитку концепції бізнесу і прав людини у світі. Нормативно-правове забезпечення сфери бізнесу і прав людини: наявний міжнародний контекст та кращі зарубіжні практики:. </w:t>
      </w:r>
    </w:p>
    <w:p w14:paraId="46D0E0F9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 2.</w:t>
      </w:r>
      <w:r>
        <w:rPr>
          <w:sz w:val="24"/>
        </w:rPr>
        <w:t xml:space="preserve"> Стан розвитку та нормативно-правове забезпечення сфери бізнесу і прав людини в Україні. Роль господарського права у даному процесі. </w:t>
      </w:r>
    </w:p>
    <w:p w14:paraId="565395FC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 3. </w:t>
      </w:r>
      <w:r>
        <w:rPr>
          <w:sz w:val="24"/>
        </w:rPr>
        <w:t xml:space="preserve">Обов’язок держави захищати права людини. </w:t>
      </w:r>
    </w:p>
    <w:p w14:paraId="5FADC31B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 4.</w:t>
      </w:r>
      <w:r>
        <w:rPr>
          <w:sz w:val="24"/>
        </w:rPr>
        <w:t xml:space="preserve"> Корпоративна відповідальність щодо поваги бізнесу до прав людини. </w:t>
      </w:r>
    </w:p>
    <w:p w14:paraId="2822C57E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 xml:space="preserve">Тема 5. </w:t>
      </w:r>
      <w:r>
        <w:rPr>
          <w:sz w:val="24"/>
        </w:rPr>
        <w:t xml:space="preserve">Доступ до засобів правового захисту. </w:t>
      </w:r>
    </w:p>
    <w:p w14:paraId="58FF2EB7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 6. </w:t>
      </w:r>
      <w:r>
        <w:rPr>
          <w:sz w:val="24"/>
        </w:rPr>
        <w:t>Роль концепції бізнесу і прав людини в досягненні цілей Порядку денного сталого розвитку на період до 2030 року.</w:t>
      </w:r>
    </w:p>
    <w:p w14:paraId="50B0084F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 7.</w:t>
      </w:r>
      <w:r>
        <w:rPr>
          <w:sz w:val="24"/>
        </w:rPr>
        <w:t xml:space="preserve"> Бізнес і права людини в імплементації положень Європейського зеленого курсу. </w:t>
      </w:r>
    </w:p>
    <w:p w14:paraId="0C3B92C6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 xml:space="preserve">Тема 8. </w:t>
      </w:r>
      <w:r>
        <w:rPr>
          <w:sz w:val="24"/>
        </w:rPr>
        <w:t>Врахування гендерного аспекту в розвитку тематики бізнесу і прав людини.</w:t>
      </w:r>
    </w:p>
    <w:p w14:paraId="647A61C3" w14:textId="77777777" w:rsidR="00374B36" w:rsidRDefault="00374B36" w:rsidP="00374B36">
      <w:pPr>
        <w:spacing w:before="21" w:line="276" w:lineRule="auto"/>
        <w:ind w:right="149"/>
        <w:rPr>
          <w:sz w:val="24"/>
        </w:rPr>
      </w:pPr>
      <w:r>
        <w:rPr>
          <w:b/>
          <w:sz w:val="24"/>
        </w:rPr>
        <w:t>Тема 9. </w:t>
      </w:r>
      <w:r>
        <w:rPr>
          <w:sz w:val="24"/>
        </w:rPr>
        <w:t xml:space="preserve">Концепція бізнесу і прав людини в умовах конфлікту та </w:t>
      </w:r>
      <w:proofErr w:type="spellStart"/>
      <w:r>
        <w:rPr>
          <w:sz w:val="24"/>
        </w:rPr>
        <w:t>постконфліктного</w:t>
      </w:r>
      <w:proofErr w:type="spellEnd"/>
      <w:r>
        <w:rPr>
          <w:sz w:val="24"/>
        </w:rPr>
        <w:t xml:space="preserve"> відновлення. Бізнес і права людини в транзитивному правосудді: особливості застосування:.</w:t>
      </w:r>
    </w:p>
    <w:p w14:paraId="5C461DF4" w14:textId="460559A5" w:rsidR="00860CEE" w:rsidRPr="00AA4367" w:rsidRDefault="00374B36" w:rsidP="00374B36">
      <w:pPr>
        <w:spacing w:before="21" w:line="278" w:lineRule="auto"/>
        <w:ind w:right="149"/>
        <w:rPr>
          <w:sz w:val="24"/>
          <w:szCs w:val="24"/>
        </w:rPr>
      </w:pPr>
      <w:r>
        <w:rPr>
          <w:b/>
          <w:sz w:val="24"/>
        </w:rPr>
        <w:t>Тема 10.</w:t>
      </w:r>
      <w:r>
        <w:rPr>
          <w:sz w:val="24"/>
        </w:rPr>
        <w:t>Перспективи розвитку концепції бізнесу і прав людини. Розробка в міжнародному праві юридично зобов'язуючого інструмента для регулювання діяльності транснаціональних корпорацій та інших суб'єктів господарської діяльності.</w:t>
      </w:r>
    </w:p>
    <w:sectPr w:rsidR="00860CEE" w:rsidRPr="00AA43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7D2F5A"/>
    <w:multiLevelType w:val="hybridMultilevel"/>
    <w:tmpl w:val="BF8264C0"/>
    <w:lvl w:ilvl="0" w:tplc="2230F78E">
      <w:numFmt w:val="bullet"/>
      <w:lvlText w:val="-"/>
      <w:lvlJc w:val="left"/>
      <w:pPr>
        <w:ind w:left="714" w:hanging="456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" w15:restartNumberingAfterBreak="0">
    <w:nsid w:val="36360572"/>
    <w:multiLevelType w:val="hybridMultilevel"/>
    <w:tmpl w:val="06E28D16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BF2884"/>
    <w:multiLevelType w:val="hybridMultilevel"/>
    <w:tmpl w:val="FC282BC8"/>
    <w:lvl w:ilvl="0" w:tplc="FCDC2E3C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7F8E2F78"/>
    <w:multiLevelType w:val="hybridMultilevel"/>
    <w:tmpl w:val="7826AD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2A7"/>
    <w:rsid w:val="00106DE6"/>
    <w:rsid w:val="001C186B"/>
    <w:rsid w:val="00374B36"/>
    <w:rsid w:val="003C4A2A"/>
    <w:rsid w:val="00417AA3"/>
    <w:rsid w:val="00816E22"/>
    <w:rsid w:val="00860CEE"/>
    <w:rsid w:val="00870ED3"/>
    <w:rsid w:val="008B5069"/>
    <w:rsid w:val="00917E77"/>
    <w:rsid w:val="0093160A"/>
    <w:rsid w:val="009D790B"/>
    <w:rsid w:val="00AA4367"/>
    <w:rsid w:val="00AE02A7"/>
    <w:rsid w:val="00D83629"/>
    <w:rsid w:val="00DD2031"/>
    <w:rsid w:val="00E4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9B42"/>
  <w15:chartTrackingRefBased/>
  <w15:docId w15:val="{543AA5D5-C783-417A-9A69-2C72EE87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2A7"/>
    <w:pPr>
      <w:spacing w:after="0" w:line="240" w:lineRule="auto"/>
      <w:ind w:right="170"/>
      <w:jc w:val="both"/>
    </w:pPr>
    <w:rPr>
      <w:rFonts w:ascii="Times New Roman" w:eastAsia="Calibri" w:hAnsi="Times New Roman" w:cs="Times New Roman"/>
      <w:sz w:val="18"/>
      <w:szCs w:val="28"/>
    </w:rPr>
  </w:style>
  <w:style w:type="paragraph" w:styleId="1">
    <w:name w:val="heading 1"/>
    <w:basedOn w:val="a"/>
    <w:link w:val="10"/>
    <w:uiPriority w:val="99"/>
    <w:qFormat/>
    <w:rsid w:val="00AE02A7"/>
    <w:pPr>
      <w:widowControl w:val="0"/>
      <w:autoSpaceDE w:val="0"/>
      <w:autoSpaceDN w:val="0"/>
      <w:ind w:left="242" w:right="113"/>
      <w:jc w:val="center"/>
      <w:outlineLvl w:val="0"/>
    </w:pPr>
    <w:rPr>
      <w:rFonts w:eastAsia="Times New Roman"/>
      <w:b/>
      <w:bCs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E02A7"/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styleId="a3">
    <w:name w:val="Body Text"/>
    <w:basedOn w:val="a"/>
    <w:link w:val="a4"/>
    <w:qFormat/>
    <w:rsid w:val="00AE02A7"/>
    <w:pPr>
      <w:widowControl w:val="0"/>
      <w:ind w:right="0"/>
      <w:jc w:val="left"/>
    </w:pPr>
    <w:rPr>
      <w:rFonts w:eastAsia="Times New Roman"/>
      <w:szCs w:val="18"/>
      <w:lang w:val="en-US"/>
    </w:rPr>
  </w:style>
  <w:style w:type="character" w:customStyle="1" w:styleId="a4">
    <w:name w:val="Основний текст Знак"/>
    <w:basedOn w:val="a0"/>
    <w:link w:val="a3"/>
    <w:rsid w:val="00AE02A7"/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TableParagraph">
    <w:name w:val="Table Paragraph"/>
    <w:basedOn w:val="a"/>
    <w:uiPriority w:val="99"/>
    <w:qFormat/>
    <w:rsid w:val="00AE02A7"/>
    <w:pPr>
      <w:widowControl w:val="0"/>
      <w:autoSpaceDE w:val="0"/>
      <w:autoSpaceDN w:val="0"/>
      <w:ind w:left="107" w:right="0"/>
      <w:jc w:val="left"/>
    </w:pPr>
    <w:rPr>
      <w:rFonts w:eastAsia="Times New Roman"/>
      <w:sz w:val="22"/>
      <w:szCs w:val="22"/>
      <w:lang w:eastAsia="uk-UA"/>
    </w:rPr>
  </w:style>
  <w:style w:type="paragraph" w:customStyle="1" w:styleId="11">
    <w:name w:val="Абзац списку1"/>
    <w:basedOn w:val="a"/>
    <w:uiPriority w:val="99"/>
    <w:qFormat/>
    <w:rsid w:val="00AA4367"/>
    <w:pPr>
      <w:spacing w:after="200" w:line="276" w:lineRule="auto"/>
      <w:ind w:left="720" w:right="0"/>
      <w:jc w:val="left"/>
    </w:pPr>
    <w:rPr>
      <w:rFonts w:ascii="Calibri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AA4367"/>
    <w:pPr>
      <w:spacing w:after="160" w:line="259" w:lineRule="auto"/>
      <w:ind w:left="720" w:right="0"/>
      <w:contextualSpacing/>
      <w:jc w:val="left"/>
    </w:pPr>
    <w:rPr>
      <w:rFonts w:ascii="Calibri" w:hAnsi="Calibri" w:cs="Calibri"/>
      <w:sz w:val="22"/>
      <w:szCs w:val="22"/>
      <w:lang w:eastAsia="uk-UA"/>
    </w:rPr>
  </w:style>
  <w:style w:type="paragraph" w:customStyle="1" w:styleId="3">
    <w:name w:val="Стиль3"/>
    <w:basedOn w:val="a"/>
    <w:rsid w:val="00AA4367"/>
    <w:pPr>
      <w:spacing w:line="360" w:lineRule="auto"/>
      <w:ind w:right="0" w:firstLine="709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3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4198</Words>
  <Characters>2393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господарського права УжНУ</dc:creator>
  <cp:keywords/>
  <dc:description/>
  <cp:lastModifiedBy>Мария Пилипенко</cp:lastModifiedBy>
  <cp:revision>3</cp:revision>
  <dcterms:created xsi:type="dcterms:W3CDTF">2025-04-03T13:51:00Z</dcterms:created>
  <dcterms:modified xsi:type="dcterms:W3CDTF">2025-04-06T11:07:00Z</dcterms:modified>
</cp:coreProperties>
</file>