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A600" w14:textId="77777777" w:rsidR="00B954C1" w:rsidRPr="00B954C1" w:rsidRDefault="00B954C1" w:rsidP="00B954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954C1">
        <w:rPr>
          <w:rFonts w:ascii="Times New Roman" w:hAnsi="Times New Roman" w:cs="Times New Roman"/>
          <w:b/>
          <w:bCs/>
        </w:rPr>
        <w:t xml:space="preserve">Коментар до документів по виборам голови </w:t>
      </w:r>
    </w:p>
    <w:p w14:paraId="17B7A8D4" w14:textId="1148BA38" w:rsidR="00B954C1" w:rsidRPr="00B954C1" w:rsidRDefault="00B954C1" w:rsidP="00B954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954C1">
        <w:rPr>
          <w:rFonts w:ascii="Times New Roman" w:hAnsi="Times New Roman" w:cs="Times New Roman"/>
          <w:b/>
          <w:bCs/>
        </w:rPr>
        <w:t>Студентської ради факультету</w:t>
      </w:r>
    </w:p>
    <w:p w14:paraId="0391F5E1" w14:textId="77777777" w:rsidR="00B954C1" w:rsidRDefault="00B954C1" w:rsidP="00B954C1">
      <w:pPr>
        <w:spacing w:after="0"/>
        <w:jc w:val="center"/>
        <w:rPr>
          <w:rFonts w:ascii="Times New Roman" w:hAnsi="Times New Roman" w:cs="Times New Roman"/>
        </w:rPr>
      </w:pPr>
    </w:p>
    <w:p w14:paraId="678ECB62" w14:textId="555E2E15" w:rsidR="00B954C1" w:rsidRDefault="00B954C1" w:rsidP="00B954C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Проведення виборів голови Студентської ради факультету/інституту/коледжу відбувається у випадку:</w:t>
      </w:r>
    </w:p>
    <w:p w14:paraId="529E50EA" w14:textId="3C002AB3" w:rsidR="00B954C1" w:rsidRDefault="00B954C1" w:rsidP="00B954C1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>закінчення строку повноважень</w:t>
      </w:r>
      <w:r>
        <w:rPr>
          <w:rFonts w:ascii="Times New Roman" w:hAnsi="Times New Roman" w:cs="Times New Roman"/>
        </w:rPr>
        <w:t xml:space="preserve"> голови (1 рік);</w:t>
      </w:r>
    </w:p>
    <w:p w14:paraId="6B1D8505" w14:textId="15FF9F1B" w:rsidR="00B954C1" w:rsidRDefault="00B954C1" w:rsidP="00B954C1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достроково, згідно п. 18.4 Положення у випадку:</w:t>
      </w:r>
    </w:p>
    <w:p w14:paraId="5A16492A" w14:textId="514F4420" w:rsidR="00B954C1" w:rsidRPr="00B954C1" w:rsidRDefault="00B954C1" w:rsidP="00B954C1">
      <w:pPr>
        <w:pStyle w:val="a9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>складання повноважень за власним бажанням;</w:t>
      </w:r>
    </w:p>
    <w:p w14:paraId="2401B0EB" w14:textId="2913E948" w:rsidR="00B954C1" w:rsidRPr="00B954C1" w:rsidRDefault="00B954C1" w:rsidP="00B954C1">
      <w:pPr>
        <w:pStyle w:val="a9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>неспроможності виконувати свої повноваження за станом здоров'я;</w:t>
      </w:r>
    </w:p>
    <w:p w14:paraId="6FECE6FC" w14:textId="2B779306" w:rsidR="00B954C1" w:rsidRPr="00B954C1" w:rsidRDefault="00B954C1" w:rsidP="00B954C1">
      <w:pPr>
        <w:pStyle w:val="a9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>надання академічної відпустки;</w:t>
      </w:r>
    </w:p>
    <w:p w14:paraId="6E66338D" w14:textId="0D0752BC" w:rsidR="00B954C1" w:rsidRPr="00B954C1" w:rsidRDefault="00B954C1" w:rsidP="00B954C1">
      <w:pPr>
        <w:pStyle w:val="a9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>припинення навчання в Університеті;</w:t>
      </w:r>
    </w:p>
    <w:p w14:paraId="61D4988A" w14:textId="5D1303D2" w:rsidR="00B954C1" w:rsidRPr="00B954C1" w:rsidRDefault="00B954C1" w:rsidP="00B954C1">
      <w:pPr>
        <w:pStyle w:val="a9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>смерті;</w:t>
      </w:r>
    </w:p>
    <w:p w14:paraId="33ECCAC3" w14:textId="2965BC22" w:rsidR="00B954C1" w:rsidRPr="00B954C1" w:rsidRDefault="00B954C1" w:rsidP="00B954C1">
      <w:pPr>
        <w:pStyle w:val="a9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>у разі висловлення недовіри не менш як двома третинами від загального складу К</w:t>
      </w:r>
      <w:r>
        <w:rPr>
          <w:rFonts w:ascii="Times New Roman" w:hAnsi="Times New Roman" w:cs="Times New Roman"/>
        </w:rPr>
        <w:t>онференції студентів структурного підрозділу</w:t>
      </w:r>
      <w:r w:rsidRPr="00B954C1">
        <w:rPr>
          <w:rFonts w:ascii="Times New Roman" w:hAnsi="Times New Roman" w:cs="Times New Roman"/>
        </w:rPr>
        <w:t>;</w:t>
      </w:r>
    </w:p>
    <w:p w14:paraId="0FDF6B2E" w14:textId="7685F2E8" w:rsidR="00B954C1" w:rsidRDefault="00B954C1" w:rsidP="00B954C1">
      <w:pPr>
        <w:pStyle w:val="a9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>усування з посади за результатами загального таємного голосування студентів, ініційованого згідно підписів не менш як 10 відсотків студентів структурного підрозділу.</w:t>
      </w:r>
    </w:p>
    <w:p w14:paraId="11DFAE63" w14:textId="0DF4F7B4" w:rsidR="00B954C1" w:rsidRDefault="00B954C1" w:rsidP="00B954C1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першому випадку голова Студентської ради не пізніше ніж за тиждень до закінчення </w:t>
      </w:r>
      <w:r w:rsidR="00875617">
        <w:rPr>
          <w:rFonts w:ascii="Times New Roman" w:hAnsi="Times New Roman" w:cs="Times New Roman"/>
        </w:rPr>
        <w:t>строку повноважень скликати засідання Студентської ради та розпочати процедуру проведення виборів голови Студентської ради відповідно до Положення про студентське самоврядування ДВНЗ «УжНУ» та цього коментаря.</w:t>
      </w:r>
    </w:p>
    <w:p w14:paraId="77E9DDA0" w14:textId="17CAE4E8" w:rsidR="00875617" w:rsidRDefault="00875617" w:rsidP="00B954C1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другому випадку (дострокове) складання повноважень або усунення від їх виконання з тих чи інших причин згідно Положення мають відбутися такі події:</w:t>
      </w:r>
    </w:p>
    <w:p w14:paraId="1CD855F6" w14:textId="7A6EAF62" w:rsidR="00875617" w:rsidRDefault="00875617" w:rsidP="00875617">
      <w:pPr>
        <w:pStyle w:val="a9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тимчасово виконуючим обов’язків голови Студради (далі – т.в.о.) до проведення виборів стає перший заступник;</w:t>
      </w:r>
    </w:p>
    <w:p w14:paraId="7A2920C0" w14:textId="4F6DFFDB" w:rsidR="00875617" w:rsidRDefault="00875617" w:rsidP="00875617">
      <w:pPr>
        <w:pStyle w:val="a9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т.в.о. зобов’язаний протягом </w:t>
      </w:r>
      <w:r w:rsidRPr="00B954C1">
        <w:rPr>
          <w:rFonts w:ascii="Times New Roman" w:hAnsi="Times New Roman" w:cs="Times New Roman"/>
        </w:rPr>
        <w:t>тижня скликати засідання Студентської ради структурного підрозділу та ініціювати питання про початок виборів або у випадку неможливості їх проведення з об’єктивних причин про обрання виконуючого обов’язків голови Студентської ради структурного підрозділу до проведення виборів</w:t>
      </w:r>
      <w:r>
        <w:rPr>
          <w:rFonts w:ascii="Times New Roman" w:hAnsi="Times New Roman" w:cs="Times New Roman"/>
        </w:rPr>
        <w:t>, але не більше ніж на півроку;</w:t>
      </w:r>
    </w:p>
    <w:p w14:paraId="2DC187E5" w14:textId="794DCCC5" w:rsidR="00875617" w:rsidRDefault="00875617" w:rsidP="00875617">
      <w:pPr>
        <w:pStyle w:val="a9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протягом проведення виборів т.в.о. </w:t>
      </w:r>
      <w:r w:rsidRPr="00B954C1">
        <w:rPr>
          <w:rFonts w:ascii="Times New Roman" w:hAnsi="Times New Roman" w:cs="Times New Roman"/>
        </w:rPr>
        <w:t xml:space="preserve">здійснює представництво інтересів студентів </w:t>
      </w:r>
      <w:r>
        <w:rPr>
          <w:rFonts w:ascii="Times New Roman" w:hAnsi="Times New Roman" w:cs="Times New Roman"/>
        </w:rPr>
        <w:t xml:space="preserve">відповідного </w:t>
      </w:r>
      <w:r w:rsidRPr="00B954C1">
        <w:rPr>
          <w:rFonts w:ascii="Times New Roman" w:hAnsi="Times New Roman" w:cs="Times New Roman"/>
        </w:rPr>
        <w:t>структурного підрозділу у складі Студентської ради Університету</w:t>
      </w:r>
      <w:r>
        <w:rPr>
          <w:rFonts w:ascii="Times New Roman" w:hAnsi="Times New Roman" w:cs="Times New Roman"/>
        </w:rPr>
        <w:t>;</w:t>
      </w:r>
    </w:p>
    <w:p w14:paraId="6EAA6128" w14:textId="77777777" w:rsidR="002B4FDA" w:rsidRPr="002B4FDA" w:rsidRDefault="002B4FDA" w:rsidP="002B4FDA">
      <w:pPr>
        <w:spacing w:after="0"/>
        <w:rPr>
          <w:rFonts w:ascii="Times New Roman" w:hAnsi="Times New Roman" w:cs="Times New Roman"/>
        </w:rPr>
      </w:pPr>
    </w:p>
    <w:p w14:paraId="00CDFD9D" w14:textId="4C723326" w:rsidR="002B4FDA" w:rsidRPr="002B4FDA" w:rsidRDefault="002B4FDA" w:rsidP="002B4FDA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Згідно Положення в</w:t>
      </w:r>
      <w:r w:rsidRPr="002B4FDA">
        <w:rPr>
          <w:rFonts w:ascii="Times New Roman" w:hAnsi="Times New Roman" w:cs="Times New Roman"/>
        </w:rPr>
        <w:t xml:space="preserve">иборчий процес включає такі </w:t>
      </w:r>
      <w:r w:rsidRPr="002B4FDA">
        <w:rPr>
          <w:rFonts w:ascii="Times New Roman" w:hAnsi="Times New Roman" w:cs="Times New Roman"/>
          <w:b/>
          <w:bCs/>
        </w:rPr>
        <w:t>етапи</w:t>
      </w:r>
      <w:r w:rsidRPr="002B4FDA">
        <w:rPr>
          <w:rFonts w:ascii="Times New Roman" w:hAnsi="Times New Roman" w:cs="Times New Roman"/>
        </w:rPr>
        <w:t xml:space="preserve">: </w:t>
      </w:r>
    </w:p>
    <w:p w14:paraId="79872D79" w14:textId="7D72F483" w:rsidR="002B4FDA" w:rsidRPr="002B4FDA" w:rsidRDefault="002B4FDA" w:rsidP="002B4FDA">
      <w:pPr>
        <w:spacing w:after="0"/>
        <w:rPr>
          <w:rFonts w:ascii="Times New Roman" w:hAnsi="Times New Roman" w:cs="Times New Roman"/>
        </w:rPr>
      </w:pPr>
      <w:r w:rsidRPr="002B4FDA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оголошення на засіданні Студради виборів та </w:t>
      </w:r>
      <w:r w:rsidRPr="002B4FDA">
        <w:rPr>
          <w:rFonts w:ascii="Times New Roman" w:hAnsi="Times New Roman" w:cs="Times New Roman"/>
        </w:rPr>
        <w:t xml:space="preserve">утворення </w:t>
      </w:r>
      <w:r>
        <w:rPr>
          <w:rFonts w:ascii="Times New Roman" w:hAnsi="Times New Roman" w:cs="Times New Roman"/>
        </w:rPr>
        <w:t>студентської</w:t>
      </w:r>
      <w:r w:rsidRPr="002B4FDA">
        <w:rPr>
          <w:rFonts w:ascii="Times New Roman" w:hAnsi="Times New Roman" w:cs="Times New Roman"/>
        </w:rPr>
        <w:t xml:space="preserve"> виборч</w:t>
      </w:r>
      <w:r>
        <w:rPr>
          <w:rFonts w:ascii="Times New Roman" w:hAnsi="Times New Roman" w:cs="Times New Roman"/>
        </w:rPr>
        <w:t>ої</w:t>
      </w:r>
      <w:r w:rsidRPr="002B4FDA">
        <w:rPr>
          <w:rFonts w:ascii="Times New Roman" w:hAnsi="Times New Roman" w:cs="Times New Roman"/>
        </w:rPr>
        <w:t xml:space="preserve"> комісі</w:t>
      </w:r>
      <w:r>
        <w:rPr>
          <w:rFonts w:ascii="Times New Roman" w:hAnsi="Times New Roman" w:cs="Times New Roman"/>
        </w:rPr>
        <w:t>ї (СВК)</w:t>
      </w:r>
      <w:r w:rsidRPr="002B4FDA">
        <w:rPr>
          <w:rFonts w:ascii="Times New Roman" w:hAnsi="Times New Roman" w:cs="Times New Roman"/>
        </w:rPr>
        <w:t>;</w:t>
      </w:r>
    </w:p>
    <w:p w14:paraId="51E87910" w14:textId="53FC2830" w:rsidR="002B4FDA" w:rsidRPr="002B4FDA" w:rsidRDefault="002B4FDA" w:rsidP="002B4FDA">
      <w:pPr>
        <w:spacing w:after="0"/>
        <w:rPr>
          <w:rFonts w:ascii="Times New Roman" w:hAnsi="Times New Roman" w:cs="Times New Roman"/>
        </w:rPr>
      </w:pPr>
      <w:r w:rsidRPr="002B4FDA">
        <w:rPr>
          <w:rFonts w:ascii="Times New Roman" w:hAnsi="Times New Roman" w:cs="Times New Roman"/>
        </w:rPr>
        <w:t>2) складання списків виборців, їх перевірка та уточнення;</w:t>
      </w:r>
    </w:p>
    <w:p w14:paraId="1FEB5B58" w14:textId="70F813D7" w:rsidR="002B4FDA" w:rsidRPr="002B4FDA" w:rsidRDefault="002B4FDA" w:rsidP="002B4FDA">
      <w:pPr>
        <w:spacing w:after="0"/>
        <w:rPr>
          <w:rFonts w:ascii="Times New Roman" w:hAnsi="Times New Roman" w:cs="Times New Roman"/>
        </w:rPr>
      </w:pPr>
      <w:r w:rsidRPr="002B4FDA">
        <w:rPr>
          <w:rFonts w:ascii="Times New Roman" w:hAnsi="Times New Roman" w:cs="Times New Roman"/>
        </w:rPr>
        <w:t>3) висування та реєстрація кандидатів;</w:t>
      </w:r>
    </w:p>
    <w:p w14:paraId="231C0AA6" w14:textId="468A3382" w:rsidR="002B4FDA" w:rsidRPr="002B4FDA" w:rsidRDefault="002B4FDA" w:rsidP="002B4FDA">
      <w:pPr>
        <w:spacing w:after="0"/>
        <w:rPr>
          <w:rFonts w:ascii="Times New Roman" w:hAnsi="Times New Roman" w:cs="Times New Roman"/>
        </w:rPr>
      </w:pPr>
      <w:r w:rsidRPr="002B4FDA">
        <w:rPr>
          <w:rFonts w:ascii="Times New Roman" w:hAnsi="Times New Roman" w:cs="Times New Roman"/>
        </w:rPr>
        <w:t>4) проведення передвиборної агітації;</w:t>
      </w:r>
    </w:p>
    <w:p w14:paraId="05D14751" w14:textId="58281D6C" w:rsidR="002B4FDA" w:rsidRPr="002B4FDA" w:rsidRDefault="002B4FDA" w:rsidP="002B4FDA">
      <w:pPr>
        <w:spacing w:after="0"/>
        <w:rPr>
          <w:rFonts w:ascii="Times New Roman" w:hAnsi="Times New Roman" w:cs="Times New Roman"/>
        </w:rPr>
      </w:pPr>
      <w:r w:rsidRPr="002B4FDA">
        <w:rPr>
          <w:rFonts w:ascii="Times New Roman" w:hAnsi="Times New Roman" w:cs="Times New Roman"/>
        </w:rPr>
        <w:t>5) проведення дебатів;</w:t>
      </w:r>
    </w:p>
    <w:p w14:paraId="48A9AD11" w14:textId="3DCA498F" w:rsidR="002B4FDA" w:rsidRPr="002B4FDA" w:rsidRDefault="002B4FDA" w:rsidP="002B4FDA">
      <w:pPr>
        <w:spacing w:after="0"/>
        <w:rPr>
          <w:rFonts w:ascii="Times New Roman" w:hAnsi="Times New Roman" w:cs="Times New Roman"/>
        </w:rPr>
      </w:pPr>
      <w:r w:rsidRPr="002B4FDA">
        <w:rPr>
          <w:rFonts w:ascii="Times New Roman" w:hAnsi="Times New Roman" w:cs="Times New Roman"/>
        </w:rPr>
        <w:t>6) день тиші;</w:t>
      </w:r>
    </w:p>
    <w:p w14:paraId="30613952" w14:textId="76BAE18B" w:rsidR="002B4FDA" w:rsidRPr="002B4FDA" w:rsidRDefault="002B4FDA" w:rsidP="002B4FDA">
      <w:pPr>
        <w:spacing w:after="0"/>
        <w:rPr>
          <w:rFonts w:ascii="Times New Roman" w:hAnsi="Times New Roman" w:cs="Times New Roman"/>
        </w:rPr>
      </w:pPr>
      <w:r w:rsidRPr="002B4FDA">
        <w:rPr>
          <w:rFonts w:ascii="Times New Roman" w:hAnsi="Times New Roman" w:cs="Times New Roman"/>
        </w:rPr>
        <w:t>7) голосування у день виборів;</w:t>
      </w:r>
    </w:p>
    <w:p w14:paraId="78C98B52" w14:textId="15D73631" w:rsidR="002B4FDA" w:rsidRPr="002B4FDA" w:rsidRDefault="002B4FDA" w:rsidP="002B4FDA">
      <w:pPr>
        <w:spacing w:after="0"/>
        <w:rPr>
          <w:rFonts w:ascii="Times New Roman" w:hAnsi="Times New Roman" w:cs="Times New Roman"/>
        </w:rPr>
      </w:pPr>
      <w:r w:rsidRPr="002B4FDA">
        <w:rPr>
          <w:rFonts w:ascii="Times New Roman" w:hAnsi="Times New Roman" w:cs="Times New Roman"/>
        </w:rPr>
        <w:t>8) підрахунок голосів виборців, установлення підсумків голосування і результатів студентських виборів.</w:t>
      </w:r>
    </w:p>
    <w:p w14:paraId="62D1940B" w14:textId="77777777" w:rsidR="002B4FDA" w:rsidRDefault="002B4FDA" w:rsidP="00875617">
      <w:pPr>
        <w:spacing w:after="0"/>
        <w:rPr>
          <w:rFonts w:ascii="Times New Roman" w:hAnsi="Times New Roman" w:cs="Times New Roman"/>
        </w:rPr>
      </w:pPr>
    </w:p>
    <w:p w14:paraId="75D11083" w14:textId="77777777" w:rsidR="00B86DAE" w:rsidRDefault="00B86DAE" w:rsidP="00875617">
      <w:pPr>
        <w:spacing w:after="0"/>
        <w:rPr>
          <w:rFonts w:ascii="Times New Roman" w:hAnsi="Times New Roman" w:cs="Times New Roman"/>
        </w:rPr>
      </w:pPr>
    </w:p>
    <w:p w14:paraId="154C283E" w14:textId="77777777" w:rsidR="00B86DAE" w:rsidRDefault="00B86DAE" w:rsidP="00875617">
      <w:pPr>
        <w:spacing w:after="0"/>
        <w:rPr>
          <w:rFonts w:ascii="Times New Roman" w:hAnsi="Times New Roman" w:cs="Times New Roman"/>
        </w:rPr>
      </w:pPr>
    </w:p>
    <w:p w14:paraId="3C3FB3E7" w14:textId="142296EB" w:rsidR="00B954C1" w:rsidRPr="00875617" w:rsidRDefault="00875617" w:rsidP="00875617">
      <w:pPr>
        <w:spacing w:after="0"/>
        <w:ind w:firstLine="709"/>
        <w:rPr>
          <w:rFonts w:ascii="Times New Roman" w:hAnsi="Times New Roman" w:cs="Times New Roman"/>
          <w:b/>
          <w:bCs/>
        </w:rPr>
      </w:pPr>
      <w:r w:rsidRPr="00875617">
        <w:rPr>
          <w:rFonts w:ascii="Times New Roman" w:hAnsi="Times New Roman" w:cs="Times New Roman"/>
          <w:b/>
          <w:bCs/>
        </w:rPr>
        <w:lastRenderedPageBreak/>
        <w:t>До процедури виборів:</w:t>
      </w:r>
    </w:p>
    <w:p w14:paraId="287C91C9" w14:textId="2F7F5F00" w:rsidR="002B4FDA" w:rsidRDefault="002B4FDA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Виборчий процес виборів голови Студради факультету/інституту/коледжу як правило займає близько двох тижнів, але не може перевищувати 30 днів.</w:t>
      </w:r>
    </w:p>
    <w:p w14:paraId="28B1D810" w14:textId="06FD8F65" w:rsidR="00B86DAE" w:rsidRDefault="00B86DAE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Студентська виборча комісія має складатися з непарної кількості членів, зазвичай троє, але за потреби на факультетах з великою кількістю студентів може бути п’ятеро членів.</w:t>
      </w:r>
    </w:p>
    <w:p w14:paraId="0AFEE39E" w14:textId="3FFE8482" w:rsidR="002B4FDA" w:rsidRDefault="002B4FDA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подачу кандидатів надається не менше 5 робочих днів. У випадку, якщо за цей час ніхто зі студентів не подав свою кандидатуру, СВК може продовжити строк подачі, але не більше ніж на </w:t>
      </w:r>
      <w:r w:rsidR="00B86DAE">
        <w:rPr>
          <w:rFonts w:ascii="Times New Roman" w:hAnsi="Times New Roman" w:cs="Times New Roman"/>
        </w:rPr>
        <w:t xml:space="preserve">9 днів. </w:t>
      </w:r>
    </w:p>
    <w:p w14:paraId="6AD3A283" w14:textId="3FBEC22E" w:rsidR="00875617" w:rsidRDefault="00B954C1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 xml:space="preserve">Перше засідання </w:t>
      </w:r>
      <w:r w:rsidR="002B4FDA">
        <w:rPr>
          <w:rFonts w:ascii="Times New Roman" w:hAnsi="Times New Roman" w:cs="Times New Roman"/>
        </w:rPr>
        <w:t xml:space="preserve">студентської </w:t>
      </w:r>
      <w:r w:rsidRPr="00B954C1">
        <w:rPr>
          <w:rFonts w:ascii="Times New Roman" w:hAnsi="Times New Roman" w:cs="Times New Roman"/>
        </w:rPr>
        <w:t>виборчої комісії має відбутися одразу після засідання Студради, на якому оголошено про вибори</w:t>
      </w:r>
      <w:r w:rsidR="00875617">
        <w:rPr>
          <w:rFonts w:ascii="Times New Roman" w:hAnsi="Times New Roman" w:cs="Times New Roman"/>
        </w:rPr>
        <w:t>, але не пізніше ніж протягом одного дня з їх оголошення</w:t>
      </w:r>
      <w:r>
        <w:rPr>
          <w:rFonts w:ascii="Times New Roman" w:hAnsi="Times New Roman" w:cs="Times New Roman"/>
        </w:rPr>
        <w:t>.</w:t>
      </w:r>
      <w:r w:rsidRPr="00B954C1">
        <w:rPr>
          <w:rFonts w:ascii="Times New Roman" w:hAnsi="Times New Roman" w:cs="Times New Roman"/>
        </w:rPr>
        <w:t xml:space="preserve"> </w:t>
      </w:r>
    </w:p>
    <w:p w14:paraId="6B72D7AA" w14:textId="233EB012" w:rsidR="002B4FDA" w:rsidRDefault="00B954C1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 xml:space="preserve">Друге засідання відбувається після закінчення подачі заявок. У другому протоколі у питанні про затвердження кандидатів в залежності від того, скільки людей подалося, </w:t>
      </w:r>
      <w:r w:rsidR="00B86DAE">
        <w:rPr>
          <w:rFonts w:ascii="Times New Roman" w:hAnsi="Times New Roman" w:cs="Times New Roman"/>
        </w:rPr>
        <w:t>о</w:t>
      </w:r>
      <w:r w:rsidRPr="00B954C1">
        <w:rPr>
          <w:rFonts w:ascii="Times New Roman" w:hAnsi="Times New Roman" w:cs="Times New Roman"/>
        </w:rPr>
        <w:t>бираєте той варіант тексту, який підходить</w:t>
      </w:r>
      <w:r w:rsidR="002B4FDA">
        <w:rPr>
          <w:rFonts w:ascii="Times New Roman" w:hAnsi="Times New Roman" w:cs="Times New Roman"/>
        </w:rPr>
        <w:t>.</w:t>
      </w:r>
      <w:r w:rsidRPr="00B954C1">
        <w:rPr>
          <w:rFonts w:ascii="Times New Roman" w:hAnsi="Times New Roman" w:cs="Times New Roman"/>
        </w:rPr>
        <w:t xml:space="preserve"> </w:t>
      </w:r>
    </w:p>
    <w:p w14:paraId="5430D357" w14:textId="77777777" w:rsidR="002B4FDA" w:rsidRDefault="00B954C1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 xml:space="preserve">Список виборців та акт видачі бюлетенів </w:t>
      </w:r>
      <w:r w:rsidR="002B4FDA">
        <w:rPr>
          <w:rFonts w:ascii="Times New Roman" w:hAnsi="Times New Roman" w:cs="Times New Roman"/>
        </w:rPr>
        <w:t>рекомендуємо</w:t>
      </w:r>
      <w:r w:rsidRPr="00B954C1">
        <w:rPr>
          <w:rFonts w:ascii="Times New Roman" w:hAnsi="Times New Roman" w:cs="Times New Roman"/>
        </w:rPr>
        <w:t xml:space="preserve"> зробити у алфаві</w:t>
      </w:r>
      <w:r w:rsidR="002B4FDA">
        <w:rPr>
          <w:rFonts w:ascii="Times New Roman" w:hAnsi="Times New Roman" w:cs="Times New Roman"/>
        </w:rPr>
        <w:t>т</w:t>
      </w:r>
      <w:r w:rsidRPr="00B954C1">
        <w:rPr>
          <w:rFonts w:ascii="Times New Roman" w:hAnsi="Times New Roman" w:cs="Times New Roman"/>
        </w:rPr>
        <w:t>ному порядку, та з поділом на курси</w:t>
      </w:r>
      <w:r w:rsidR="002B4FDA">
        <w:rPr>
          <w:rFonts w:ascii="Times New Roman" w:hAnsi="Times New Roman" w:cs="Times New Roman"/>
        </w:rPr>
        <w:t>.</w:t>
      </w:r>
      <w:r w:rsidRPr="00B954C1">
        <w:rPr>
          <w:rFonts w:ascii="Times New Roman" w:hAnsi="Times New Roman" w:cs="Times New Roman"/>
        </w:rPr>
        <w:t xml:space="preserve"> </w:t>
      </w:r>
    </w:p>
    <w:p w14:paraId="46765942" w14:textId="0064216D" w:rsidR="002B4FDA" w:rsidRDefault="00B954C1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>Третє засідання відбувається, коли вже готов</w:t>
      </w:r>
      <w:r w:rsidR="002B4FDA">
        <w:rPr>
          <w:rFonts w:ascii="Times New Roman" w:hAnsi="Times New Roman" w:cs="Times New Roman"/>
        </w:rPr>
        <w:t>і</w:t>
      </w:r>
      <w:r w:rsidRPr="00B954C1">
        <w:rPr>
          <w:rFonts w:ascii="Times New Roman" w:hAnsi="Times New Roman" w:cs="Times New Roman"/>
        </w:rPr>
        <w:t xml:space="preserve"> списк</w:t>
      </w:r>
      <w:r w:rsidR="00B86DAE">
        <w:rPr>
          <w:rFonts w:ascii="Times New Roman" w:hAnsi="Times New Roman" w:cs="Times New Roman"/>
        </w:rPr>
        <w:t>и</w:t>
      </w:r>
      <w:r w:rsidRPr="00B954C1">
        <w:rPr>
          <w:rFonts w:ascii="Times New Roman" w:hAnsi="Times New Roman" w:cs="Times New Roman"/>
        </w:rPr>
        <w:t xml:space="preserve"> виборців. Можна на наступний день після затвердження кандидатів</w:t>
      </w:r>
      <w:r w:rsidR="002B4FDA">
        <w:rPr>
          <w:rFonts w:ascii="Times New Roman" w:hAnsi="Times New Roman" w:cs="Times New Roman"/>
        </w:rPr>
        <w:t>, але не пізніше ніж за два дні до виборів.</w:t>
      </w:r>
      <w:r w:rsidRPr="00B954C1">
        <w:rPr>
          <w:rFonts w:ascii="Times New Roman" w:hAnsi="Times New Roman" w:cs="Times New Roman"/>
        </w:rPr>
        <w:t xml:space="preserve"> </w:t>
      </w:r>
    </w:p>
    <w:p w14:paraId="060C537B" w14:textId="2B106D39" w:rsidR="00B86DAE" w:rsidRDefault="00B86DAE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Бюлетені друкуються у кількості, яка відповідає кількості виборців у списках. На кожному бюлетені на задній стороні має бути підпис одно</w:t>
      </w:r>
      <w:r w:rsidR="00370E53">
        <w:rPr>
          <w:rFonts w:ascii="Times New Roman" w:hAnsi="Times New Roman" w:cs="Times New Roman"/>
        </w:rPr>
        <w:t>го з членів виборчої комісії. Бюлетень без підпису є недійсним.</w:t>
      </w:r>
    </w:p>
    <w:p w14:paraId="0E718911" w14:textId="77777777" w:rsidR="00B86DAE" w:rsidRDefault="00B954C1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 xml:space="preserve">Четверте засідання проводиться у день напередодні виборів. </w:t>
      </w:r>
    </w:p>
    <w:p w14:paraId="4D006956" w14:textId="6F930459" w:rsidR="00B86DAE" w:rsidRDefault="00B954C1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 xml:space="preserve">Опечатка для сейфу і урни трохи відрізняється, </w:t>
      </w:r>
      <w:r w:rsidR="00B86DAE">
        <w:rPr>
          <w:rFonts w:ascii="Times New Roman" w:hAnsi="Times New Roman" w:cs="Times New Roman"/>
        </w:rPr>
        <w:t xml:space="preserve">уважно передивляйтеся </w:t>
      </w:r>
      <w:r w:rsidRPr="00B954C1">
        <w:rPr>
          <w:rFonts w:ascii="Times New Roman" w:hAnsi="Times New Roman" w:cs="Times New Roman"/>
        </w:rPr>
        <w:t xml:space="preserve">зразки. </w:t>
      </w:r>
    </w:p>
    <w:p w14:paraId="50BA1F81" w14:textId="77777777" w:rsidR="00B86DAE" w:rsidRDefault="00B954C1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 xml:space="preserve">Якщо у складі комісії 3 людей, то додаткові графи для підписів інших членів крім голови, заступника і секретаря прибираєте. </w:t>
      </w:r>
    </w:p>
    <w:p w14:paraId="1442FC0F" w14:textId="77777777" w:rsidR="00B86DAE" w:rsidRDefault="00B954C1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 xml:space="preserve">П'яте засідання відбувається зранку перед початком виборів. </w:t>
      </w:r>
    </w:p>
    <w:p w14:paraId="7ECA0C9B" w14:textId="77777777" w:rsidR="00B86DAE" w:rsidRDefault="00B954C1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 xml:space="preserve">Шосте засідання починається одразу після завершення часу відведеного на голосування, тобто після 17.00. </w:t>
      </w:r>
    </w:p>
    <w:p w14:paraId="7D39605E" w14:textId="77777777" w:rsidR="00B86DAE" w:rsidRDefault="00B954C1" w:rsidP="00B954C1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 xml:space="preserve">До кожного протокола має бути додано лист реєстрації членів виборчої комісії. </w:t>
      </w:r>
    </w:p>
    <w:p w14:paraId="4512764B" w14:textId="77777777" w:rsidR="00370E53" w:rsidRDefault="00B954C1" w:rsidP="00370E53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B954C1">
        <w:rPr>
          <w:rFonts w:ascii="Times New Roman" w:hAnsi="Times New Roman" w:cs="Times New Roman"/>
        </w:rPr>
        <w:t>Додатки до протоколів, там де вони є, поправляєте під свій факультет і разом з листом реєстрації додаєте до протоколу, бо вони є його невід'ємною частиною</w:t>
      </w:r>
      <w:r w:rsidR="00B86DAE">
        <w:rPr>
          <w:rFonts w:ascii="Times New Roman" w:hAnsi="Times New Roman" w:cs="Times New Roman"/>
        </w:rPr>
        <w:t>.</w:t>
      </w:r>
    </w:p>
    <w:p w14:paraId="6C11E001" w14:textId="77777777" w:rsidR="00370E53" w:rsidRDefault="00B86DAE" w:rsidP="00370E53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370E53">
        <w:rPr>
          <w:rFonts w:ascii="Times New Roman" w:hAnsi="Times New Roman" w:cs="Times New Roman"/>
        </w:rPr>
        <w:t>Адміністрація факультету/інституту/коледжу має сприяти проведенню виборів шляхом надання приміщення для голосування, списків студентів, поширення інформації на офіційних сторінках структурного підрозділу.</w:t>
      </w:r>
    </w:p>
    <w:p w14:paraId="600CCD53" w14:textId="3A4E61FC" w:rsidR="00370E53" w:rsidRPr="00370E53" w:rsidRDefault="00370E53" w:rsidP="00370E53">
      <w:pPr>
        <w:pStyle w:val="a9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370E53">
        <w:rPr>
          <w:rFonts w:ascii="Times New Roman" w:hAnsi="Times New Roman" w:cs="Times New Roman"/>
        </w:rPr>
        <w:t>Студентська виборча комісія організовує та модерує проведення дебатів, члени СВК не можуть задавати питання кандидатам та будь-яким чином виражати прихильність одному з кандидатів, а також СВК слідкує за дотриманням заборони агітації всіма кандидатами у день тиші.</w:t>
      </w:r>
    </w:p>
    <w:p w14:paraId="37290E28" w14:textId="1F9A4F2A" w:rsidR="00370E53" w:rsidRDefault="005D1BD8" w:rsidP="00B86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Після завершення виборів, витяг про обрання нового голови Студентської ради має бути у найкоротші строки поданий секретарю Студентської ради Університету.</w:t>
      </w:r>
    </w:p>
    <w:p w14:paraId="4B1F4B1C" w14:textId="77777777" w:rsidR="00370E53" w:rsidRDefault="00370E53" w:rsidP="00B86DAE">
      <w:pPr>
        <w:rPr>
          <w:rFonts w:ascii="Times New Roman" w:hAnsi="Times New Roman" w:cs="Times New Roman"/>
        </w:rPr>
      </w:pPr>
    </w:p>
    <w:p w14:paraId="4D2E08D7" w14:textId="36BC827D" w:rsidR="00370E53" w:rsidRPr="00370E53" w:rsidRDefault="00370E53" w:rsidP="00370E53">
      <w:pPr>
        <w:jc w:val="right"/>
        <w:rPr>
          <w:rFonts w:ascii="Times New Roman" w:hAnsi="Times New Roman" w:cs="Times New Roman"/>
          <w:i/>
          <w:iCs/>
        </w:rPr>
      </w:pPr>
      <w:r w:rsidRPr="00370E53">
        <w:rPr>
          <w:rFonts w:ascii="Times New Roman" w:hAnsi="Times New Roman" w:cs="Times New Roman"/>
          <w:i/>
          <w:iCs/>
        </w:rPr>
        <w:t>У випадку виникнення будь-яких додаткових питань, звертайтеся до голови Студентської ради Університету та/або керівника відділу внутрішніх зв’язків.</w:t>
      </w:r>
    </w:p>
    <w:p w14:paraId="20423749" w14:textId="434F2550" w:rsidR="00B86DAE" w:rsidRPr="00B86DAE" w:rsidRDefault="00B86DAE" w:rsidP="00B86DAE">
      <w:pPr>
        <w:rPr>
          <w:rFonts w:ascii="Times New Roman" w:hAnsi="Times New Roman" w:cs="Times New Roman"/>
        </w:rPr>
      </w:pPr>
    </w:p>
    <w:sectPr w:rsidR="00B86DAE" w:rsidRPr="00B86D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2EA7"/>
    <w:multiLevelType w:val="hybridMultilevel"/>
    <w:tmpl w:val="41EAFA2A"/>
    <w:lvl w:ilvl="0" w:tplc="A06AA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8D25B1"/>
    <w:multiLevelType w:val="multilevel"/>
    <w:tmpl w:val="E348E2D2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D45B0"/>
    <w:multiLevelType w:val="hybridMultilevel"/>
    <w:tmpl w:val="6DEEE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33920"/>
    <w:multiLevelType w:val="multilevel"/>
    <w:tmpl w:val="E348E2D2"/>
    <w:numStyleLink w:val="1"/>
  </w:abstractNum>
  <w:abstractNum w:abstractNumId="4" w15:restartNumberingAfterBreak="0">
    <w:nsid w:val="63B567CC"/>
    <w:multiLevelType w:val="hybridMultilevel"/>
    <w:tmpl w:val="3006D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0164">
    <w:abstractNumId w:val="2"/>
  </w:num>
  <w:num w:numId="2" w16cid:durableId="2065371310">
    <w:abstractNumId w:val="4"/>
  </w:num>
  <w:num w:numId="3" w16cid:durableId="746152548">
    <w:abstractNumId w:val="3"/>
  </w:num>
  <w:num w:numId="4" w16cid:durableId="497892290">
    <w:abstractNumId w:val="1"/>
  </w:num>
  <w:num w:numId="5" w16cid:durableId="179289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C1"/>
    <w:rsid w:val="002B4FDA"/>
    <w:rsid w:val="00370E53"/>
    <w:rsid w:val="005D1BD8"/>
    <w:rsid w:val="00875617"/>
    <w:rsid w:val="008B123F"/>
    <w:rsid w:val="00AA0BBD"/>
    <w:rsid w:val="00B86DAE"/>
    <w:rsid w:val="00B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DF5D"/>
  <w15:chartTrackingRefBased/>
  <w15:docId w15:val="{B1EFEA81-6B8E-4C8C-9A2E-4AF4C486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B9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9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5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4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4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4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4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4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4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9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9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95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4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954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54C1"/>
    <w:rPr>
      <w:b/>
      <w:bCs/>
      <w:smallCaps/>
      <w:color w:val="0F4761" w:themeColor="accent1" w:themeShade="BF"/>
      <w:spacing w:val="5"/>
    </w:rPr>
  </w:style>
  <w:style w:type="numbering" w:customStyle="1" w:styleId="1">
    <w:name w:val="Стиль1"/>
    <w:uiPriority w:val="99"/>
    <w:rsid w:val="00B954C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18474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55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3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2445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29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9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2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0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3229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господарського права УжНУ</dc:creator>
  <cp:keywords/>
  <dc:description/>
  <cp:lastModifiedBy>Кафедра господарського права УжНУ</cp:lastModifiedBy>
  <cp:revision>3</cp:revision>
  <dcterms:created xsi:type="dcterms:W3CDTF">2025-03-09T21:49:00Z</dcterms:created>
  <dcterms:modified xsi:type="dcterms:W3CDTF">2025-03-09T22:38:00Z</dcterms:modified>
</cp:coreProperties>
</file>