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005" w:rsidRPr="00746A71" w:rsidRDefault="00746005" w:rsidP="00746005">
      <w:pPr>
        <w:jc w:val="center"/>
        <w:rPr>
          <w:b/>
        </w:rPr>
      </w:pPr>
      <w:r w:rsidRPr="00746A71">
        <w:rPr>
          <w:b/>
        </w:rPr>
        <w:t xml:space="preserve">Інформація кафедри неорганічної хімії </w:t>
      </w:r>
    </w:p>
    <w:p w:rsidR="00746005" w:rsidRPr="00746A71" w:rsidRDefault="00746005" w:rsidP="00746005">
      <w:pPr>
        <w:jc w:val="center"/>
        <w:rPr>
          <w:b/>
        </w:rPr>
      </w:pPr>
      <w:r w:rsidRPr="00746A71">
        <w:rPr>
          <w:b/>
        </w:rPr>
        <w:t>про вибіркові навчальні дисципліни циклу професійної підготовки</w:t>
      </w:r>
    </w:p>
    <w:p w:rsidR="00746005" w:rsidRPr="00746A71" w:rsidRDefault="00746005" w:rsidP="00746005">
      <w:pPr>
        <w:jc w:val="center"/>
        <w:rPr>
          <w:b/>
        </w:rPr>
      </w:pPr>
      <w:r w:rsidRPr="00746A71">
        <w:rPr>
          <w:b/>
        </w:rPr>
        <w:t xml:space="preserve">для спеціальності </w:t>
      </w:r>
      <w:r>
        <w:rPr>
          <w:b/>
        </w:rPr>
        <w:t xml:space="preserve">102 </w:t>
      </w:r>
      <w:r w:rsidRPr="00746A71">
        <w:rPr>
          <w:b/>
        </w:rPr>
        <w:t>Хімія</w:t>
      </w:r>
    </w:p>
    <w:p w:rsidR="00746005" w:rsidRPr="00746A71" w:rsidRDefault="00746005" w:rsidP="00746005">
      <w:pPr>
        <w:jc w:val="center"/>
      </w:pPr>
      <w:r w:rsidRPr="00746A71">
        <w:t xml:space="preserve">для </w:t>
      </w:r>
      <w:r>
        <w:t>к</w:t>
      </w:r>
      <w:r w:rsidRPr="00746A71">
        <w:t xml:space="preserve">афедрального каталогу вибіркових навчальних дисциплін </w:t>
      </w:r>
    </w:p>
    <w:p w:rsidR="00746005" w:rsidRDefault="00746005" w:rsidP="00746005"/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7560"/>
      </w:tblGrid>
      <w:tr w:rsidR="00746005" w:rsidRPr="00164938" w:rsidTr="0049054A">
        <w:tc>
          <w:tcPr>
            <w:tcW w:w="2988" w:type="dxa"/>
          </w:tcPr>
          <w:p w:rsidR="00746005" w:rsidRPr="00164938" w:rsidRDefault="00746005" w:rsidP="0049054A">
            <w:r w:rsidRPr="00164938">
              <w:t>Назва дисципліни</w:t>
            </w:r>
          </w:p>
        </w:tc>
        <w:tc>
          <w:tcPr>
            <w:tcW w:w="7560" w:type="dxa"/>
          </w:tcPr>
          <w:p w:rsidR="00746005" w:rsidRPr="00FA1A05" w:rsidRDefault="00746005" w:rsidP="0049054A">
            <w:pPr>
              <w:jc w:val="center"/>
              <w:rPr>
                <w:b/>
              </w:rPr>
            </w:pPr>
            <w:r w:rsidRPr="00FA1A05">
              <w:rPr>
                <w:b/>
              </w:rPr>
              <w:t>РЕНТГЕНІВСЬКІ МЕТОДИ АНАЛІЗУ СТРУКТУРИ</w:t>
            </w:r>
          </w:p>
        </w:tc>
      </w:tr>
      <w:tr w:rsidR="00746005" w:rsidRPr="00164938" w:rsidTr="0049054A">
        <w:tc>
          <w:tcPr>
            <w:tcW w:w="2988" w:type="dxa"/>
          </w:tcPr>
          <w:p w:rsidR="00746005" w:rsidRPr="00164938" w:rsidRDefault="00746005" w:rsidP="0049054A">
            <w:r w:rsidRPr="00164938">
              <w:t>Рівень вищої освіти</w:t>
            </w:r>
          </w:p>
        </w:tc>
        <w:tc>
          <w:tcPr>
            <w:tcW w:w="7560" w:type="dxa"/>
          </w:tcPr>
          <w:p w:rsidR="00746005" w:rsidRPr="00164938" w:rsidRDefault="00746005" w:rsidP="0049054A">
            <w:r>
              <w:t>друг</w:t>
            </w:r>
            <w:r w:rsidRPr="00164938">
              <w:t>ий</w:t>
            </w:r>
            <w:r>
              <w:t xml:space="preserve"> (магістр)</w:t>
            </w:r>
          </w:p>
        </w:tc>
      </w:tr>
      <w:tr w:rsidR="00746005" w:rsidRPr="00164938" w:rsidTr="0049054A">
        <w:tc>
          <w:tcPr>
            <w:tcW w:w="2988" w:type="dxa"/>
          </w:tcPr>
          <w:p w:rsidR="00746005" w:rsidRPr="00164938" w:rsidRDefault="00746005" w:rsidP="0049054A">
            <w:r w:rsidRPr="00164938">
              <w:t>Курс (рік) навчання</w:t>
            </w:r>
          </w:p>
        </w:tc>
        <w:tc>
          <w:tcPr>
            <w:tcW w:w="7560" w:type="dxa"/>
          </w:tcPr>
          <w:p w:rsidR="00746005" w:rsidRPr="000A7514" w:rsidRDefault="00746005" w:rsidP="0049054A">
            <w:pPr>
              <w:rPr>
                <w:lang w:val="en-US"/>
              </w:rPr>
            </w:pPr>
            <w:r>
              <w:t>другий</w:t>
            </w:r>
          </w:p>
        </w:tc>
      </w:tr>
      <w:tr w:rsidR="00746005" w:rsidRPr="00164938" w:rsidTr="0049054A">
        <w:tc>
          <w:tcPr>
            <w:tcW w:w="2988" w:type="dxa"/>
          </w:tcPr>
          <w:p w:rsidR="00746005" w:rsidRPr="00164938" w:rsidRDefault="00746005" w:rsidP="0049054A">
            <w:r w:rsidRPr="00164938">
              <w:t>Семестр</w:t>
            </w:r>
          </w:p>
        </w:tc>
        <w:tc>
          <w:tcPr>
            <w:tcW w:w="7560" w:type="dxa"/>
          </w:tcPr>
          <w:p w:rsidR="00746005" w:rsidRPr="003741FE" w:rsidRDefault="00746005" w:rsidP="0049054A">
            <w:r>
              <w:t>третій</w:t>
            </w:r>
          </w:p>
        </w:tc>
      </w:tr>
      <w:tr w:rsidR="00746005" w:rsidRPr="00164938" w:rsidTr="0049054A">
        <w:tc>
          <w:tcPr>
            <w:tcW w:w="2988" w:type="dxa"/>
          </w:tcPr>
          <w:p w:rsidR="00746005" w:rsidRPr="00164938" w:rsidRDefault="00746005" w:rsidP="0049054A">
            <w:r w:rsidRPr="00164938">
              <w:t>Обсяг дисципліни у кредитах</w:t>
            </w:r>
          </w:p>
        </w:tc>
        <w:tc>
          <w:tcPr>
            <w:tcW w:w="7560" w:type="dxa"/>
          </w:tcPr>
          <w:p w:rsidR="00746005" w:rsidRPr="007E1471" w:rsidRDefault="00746005" w:rsidP="0049054A">
            <w:r>
              <w:t>4 кредити ЄКТС</w:t>
            </w:r>
          </w:p>
        </w:tc>
      </w:tr>
      <w:tr w:rsidR="00746005" w:rsidRPr="00164938" w:rsidTr="0049054A">
        <w:tc>
          <w:tcPr>
            <w:tcW w:w="2988" w:type="dxa"/>
          </w:tcPr>
          <w:p w:rsidR="00746005" w:rsidRPr="00164938" w:rsidRDefault="00746005" w:rsidP="0049054A">
            <w:r w:rsidRPr="00164938">
              <w:t>Мова викладання</w:t>
            </w:r>
          </w:p>
        </w:tc>
        <w:tc>
          <w:tcPr>
            <w:tcW w:w="7560" w:type="dxa"/>
          </w:tcPr>
          <w:p w:rsidR="00746005" w:rsidRPr="00164938" w:rsidRDefault="00746005" w:rsidP="0049054A">
            <w:r w:rsidRPr="00164938">
              <w:t>українська</w:t>
            </w:r>
          </w:p>
        </w:tc>
      </w:tr>
      <w:tr w:rsidR="00746005" w:rsidRPr="00164938" w:rsidTr="0049054A">
        <w:tc>
          <w:tcPr>
            <w:tcW w:w="2988" w:type="dxa"/>
          </w:tcPr>
          <w:p w:rsidR="00746005" w:rsidRPr="00164938" w:rsidRDefault="00746005" w:rsidP="0049054A">
            <w:r w:rsidRPr="00164938">
              <w:t>Передумови для вивчення дисципліни</w:t>
            </w:r>
          </w:p>
        </w:tc>
        <w:tc>
          <w:tcPr>
            <w:tcW w:w="7560" w:type="dxa"/>
          </w:tcPr>
          <w:p w:rsidR="00746005" w:rsidRPr="000F790E" w:rsidRDefault="00746005" w:rsidP="0049054A">
            <w:r w:rsidRPr="000F790E">
              <w:t>наявність у здобувача освітнього ступеня бакалавра із спеціальності 102 Хімія</w:t>
            </w:r>
          </w:p>
        </w:tc>
      </w:tr>
      <w:tr w:rsidR="00746005" w:rsidRPr="00164938" w:rsidTr="0049054A">
        <w:tc>
          <w:tcPr>
            <w:tcW w:w="2988" w:type="dxa"/>
          </w:tcPr>
          <w:p w:rsidR="00746005" w:rsidRPr="00164938" w:rsidRDefault="00746005" w:rsidP="0049054A">
            <w:r w:rsidRPr="00164938">
              <w:t>Кафедра, яка забезпечує викладання дисципліни</w:t>
            </w:r>
          </w:p>
        </w:tc>
        <w:tc>
          <w:tcPr>
            <w:tcW w:w="7560" w:type="dxa"/>
          </w:tcPr>
          <w:p w:rsidR="00746005" w:rsidRPr="00746A71" w:rsidRDefault="00746005" w:rsidP="0049054A">
            <w:r w:rsidRPr="00746A71">
              <w:t>Кафедра неорганічної хімії.</w:t>
            </w:r>
          </w:p>
          <w:p w:rsidR="00746005" w:rsidRPr="00ED52AD" w:rsidRDefault="00746005" w:rsidP="0049054A">
            <w:r w:rsidRPr="00746A71">
              <w:t xml:space="preserve">Розробник курсу: </w:t>
            </w:r>
            <w:r>
              <w:t>доцент</w:t>
            </w:r>
            <w:r w:rsidRPr="00746A71">
              <w:t xml:space="preserve"> кафедри неорганічної хімії </w:t>
            </w:r>
            <w:r>
              <w:t>Кохан Олександр Павлович</w:t>
            </w:r>
            <w:r w:rsidRPr="00746A71">
              <w:t xml:space="preserve">, </w:t>
            </w:r>
            <w:r>
              <w:t>кандидат</w:t>
            </w:r>
            <w:r w:rsidRPr="00746A71">
              <w:t xml:space="preserve"> хімічних наук, </w:t>
            </w:r>
            <w:r>
              <w:t>доцент</w:t>
            </w:r>
          </w:p>
        </w:tc>
      </w:tr>
      <w:tr w:rsidR="00746005" w:rsidRPr="00164938" w:rsidTr="0049054A">
        <w:tc>
          <w:tcPr>
            <w:tcW w:w="2988" w:type="dxa"/>
          </w:tcPr>
          <w:p w:rsidR="00746005" w:rsidRPr="00164938" w:rsidRDefault="00746005" w:rsidP="0049054A">
            <w:r w:rsidRPr="00164938">
              <w:t>Інформаційне забезпечення</w:t>
            </w:r>
          </w:p>
        </w:tc>
        <w:tc>
          <w:tcPr>
            <w:tcW w:w="7560" w:type="dxa"/>
          </w:tcPr>
          <w:p w:rsidR="00746005" w:rsidRPr="00ED52AD" w:rsidRDefault="00746005" w:rsidP="0049054A">
            <w:pPr>
              <w:shd w:val="clear" w:color="auto" w:fill="FFFFFF"/>
              <w:jc w:val="both"/>
            </w:pPr>
            <w:r w:rsidRPr="00ED52AD">
              <w:t>Тексти лекцій, презентації, посилання на літературу та інтернет-ресурси, методичні розробки до виконання лабораторних та практичних робіт та інші дидактичні матеріали на сайті електронного навчання УжНУ e-learn.uzhnu.edu.ua</w:t>
            </w:r>
          </w:p>
        </w:tc>
      </w:tr>
      <w:tr w:rsidR="00746005" w:rsidRPr="00164938" w:rsidTr="0049054A">
        <w:tc>
          <w:tcPr>
            <w:tcW w:w="2988" w:type="dxa"/>
          </w:tcPr>
          <w:p w:rsidR="00746005" w:rsidRPr="00164938" w:rsidRDefault="00746005" w:rsidP="0049054A">
            <w:r w:rsidRPr="00164938">
              <w:t>Форма проведення занять</w:t>
            </w:r>
          </w:p>
        </w:tc>
        <w:tc>
          <w:tcPr>
            <w:tcW w:w="7560" w:type="dxa"/>
          </w:tcPr>
          <w:p w:rsidR="00746005" w:rsidRPr="00ED52AD" w:rsidRDefault="00746005" w:rsidP="0049054A">
            <w:r w:rsidRPr="00ED52AD">
              <w:t>Лекції, лабораторні заняття</w:t>
            </w:r>
          </w:p>
        </w:tc>
      </w:tr>
      <w:tr w:rsidR="00746005" w:rsidTr="0049054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05" w:rsidRDefault="00746005" w:rsidP="0049054A">
            <w:r>
              <w:t>Форма семестрового контролю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05" w:rsidRPr="004A2E0C" w:rsidRDefault="00746005" w:rsidP="0049054A">
            <w:pPr>
              <w:autoSpaceDE w:val="0"/>
              <w:autoSpaceDN w:val="0"/>
              <w:adjustRightInd w:val="0"/>
              <w:jc w:val="center"/>
              <w:rPr>
                <w:rFonts w:eastAsia="TTB9819358t00"/>
                <w:szCs w:val="28"/>
              </w:rPr>
            </w:pPr>
          </w:p>
          <w:p w:rsidR="00746005" w:rsidRPr="004A2E0C" w:rsidRDefault="00746005" w:rsidP="0049054A">
            <w:pPr>
              <w:autoSpaceDE w:val="0"/>
              <w:autoSpaceDN w:val="0"/>
              <w:adjustRightInd w:val="0"/>
              <w:jc w:val="center"/>
              <w:rPr>
                <w:rFonts w:eastAsia="TTB9819358t00"/>
                <w:szCs w:val="28"/>
              </w:rPr>
            </w:pPr>
            <w:r>
              <w:rPr>
                <w:rFonts w:eastAsia="TTB9819358t00"/>
                <w:szCs w:val="28"/>
              </w:rPr>
              <w:t>залік</w:t>
            </w:r>
            <w:r w:rsidRPr="004A2E0C">
              <w:rPr>
                <w:rFonts w:eastAsia="TTB9819358t00"/>
                <w:szCs w:val="28"/>
              </w:rPr>
              <w:t xml:space="preserve"> </w:t>
            </w:r>
          </w:p>
        </w:tc>
      </w:tr>
    </w:tbl>
    <w:p w:rsidR="00746005" w:rsidRDefault="00746005" w:rsidP="00746005"/>
    <w:p w:rsidR="00746005" w:rsidRDefault="00746005" w:rsidP="00746005">
      <w:pPr>
        <w:tabs>
          <w:tab w:val="left" w:pos="284"/>
          <w:tab w:val="left" w:pos="567"/>
        </w:tabs>
        <w:jc w:val="both"/>
      </w:pPr>
      <w:r w:rsidRPr="00003B00">
        <w:rPr>
          <w:b/>
        </w:rPr>
        <w:t>Ключові результати навчання (знання, уміння та інші компетентності)</w:t>
      </w:r>
      <w:r>
        <w:rPr>
          <w:b/>
        </w:rPr>
        <w:t>:</w:t>
      </w:r>
      <w:r w:rsidRPr="00164938">
        <w:tab/>
      </w:r>
    </w:p>
    <w:p w:rsidR="00746005" w:rsidRPr="00561111" w:rsidRDefault="00746005" w:rsidP="00746005">
      <w:pPr>
        <w:tabs>
          <w:tab w:val="left" w:pos="284"/>
          <w:tab w:val="left" w:pos="567"/>
        </w:tabs>
        <w:jc w:val="both"/>
      </w:pPr>
      <w:r w:rsidRPr="00746A71">
        <w:rPr>
          <w:szCs w:val="28"/>
        </w:rPr>
        <w:t xml:space="preserve">Здобувач ознайомлюється з основними </w:t>
      </w:r>
      <w:r>
        <w:rPr>
          <w:szCs w:val="28"/>
        </w:rPr>
        <w:t xml:space="preserve">характеристиками </w:t>
      </w:r>
      <w:proofErr w:type="spellStart"/>
      <w:r>
        <w:rPr>
          <w:szCs w:val="28"/>
        </w:rPr>
        <w:t>рентгендифракційних</w:t>
      </w:r>
      <w:proofErr w:type="spellEnd"/>
      <w:r>
        <w:rPr>
          <w:szCs w:val="28"/>
        </w:rPr>
        <w:t xml:space="preserve"> методів</w:t>
      </w:r>
      <w:r w:rsidRPr="00746A71">
        <w:rPr>
          <w:szCs w:val="28"/>
        </w:rPr>
        <w:t xml:space="preserve">; принципами та методикою </w:t>
      </w:r>
      <w:r>
        <w:rPr>
          <w:szCs w:val="28"/>
        </w:rPr>
        <w:t xml:space="preserve">застосування методів порошку та </w:t>
      </w:r>
      <w:proofErr w:type="spellStart"/>
      <w:r>
        <w:rPr>
          <w:szCs w:val="28"/>
        </w:rPr>
        <w:t>монокристальних</w:t>
      </w:r>
      <w:proofErr w:type="spellEnd"/>
      <w:r>
        <w:rPr>
          <w:szCs w:val="28"/>
        </w:rPr>
        <w:t xml:space="preserve"> методів (</w:t>
      </w:r>
      <w:proofErr w:type="spellStart"/>
      <w:r>
        <w:rPr>
          <w:szCs w:val="28"/>
        </w:rPr>
        <w:t>Лауе</w:t>
      </w:r>
      <w:proofErr w:type="spellEnd"/>
      <w:r w:rsidRPr="00746A71">
        <w:rPr>
          <w:szCs w:val="28"/>
        </w:rPr>
        <w:t xml:space="preserve">, </w:t>
      </w:r>
      <w:r>
        <w:rPr>
          <w:szCs w:val="28"/>
        </w:rPr>
        <w:t xml:space="preserve">методи обертання та коливання), </w:t>
      </w:r>
      <w:r w:rsidRPr="00746A71">
        <w:rPr>
          <w:szCs w:val="28"/>
        </w:rPr>
        <w:t xml:space="preserve">отримує знання про їх переваги та обмеження; оволодіває методами </w:t>
      </w:r>
      <w:r>
        <w:rPr>
          <w:szCs w:val="28"/>
        </w:rPr>
        <w:t xml:space="preserve">встановлення та уточнення кристалічної структури з </w:t>
      </w:r>
      <w:r>
        <w:t>використанням комп’ютерних програм</w:t>
      </w:r>
      <w:r w:rsidRPr="00746A71">
        <w:rPr>
          <w:szCs w:val="28"/>
        </w:rPr>
        <w:t xml:space="preserve">. Здобувач набуває уміння використовувати знання для експериментально-практичних досліджень, </w:t>
      </w:r>
      <w:r w:rsidRPr="00561111">
        <w:t>володіння методами комп’ютерного моделювання структури</w:t>
      </w:r>
      <w:r w:rsidRPr="00746A71">
        <w:rPr>
          <w:szCs w:val="28"/>
        </w:rPr>
        <w:t xml:space="preserve"> а також </w:t>
      </w:r>
      <w:r>
        <w:t>у</w:t>
      </w:r>
      <w:r w:rsidRPr="00561111">
        <w:t xml:space="preserve">міння планувати, організовувати та здійснювати експериментальні дослідження з використанням сучасного обладнання, </w:t>
      </w:r>
      <w:proofErr w:type="spellStart"/>
      <w:r w:rsidRPr="00561111">
        <w:t>грамотно</w:t>
      </w:r>
      <w:proofErr w:type="spellEnd"/>
      <w:r w:rsidRPr="00561111">
        <w:t xml:space="preserve"> обробляти їх результати та робити обґрунтовані висновки. </w:t>
      </w:r>
    </w:p>
    <w:p w:rsidR="00746005" w:rsidRDefault="00746005" w:rsidP="00746005">
      <w:pPr>
        <w:tabs>
          <w:tab w:val="left" w:pos="1891"/>
        </w:tabs>
      </w:pPr>
      <w:r w:rsidRPr="00561111">
        <w:t>Набуття дослідницьких навичок: вміння використовувати лабораторне обладнання і прилади для визначення параметрів (характеристик) речовин, відбирати зразки для проведення аналізів та різних експериментальних досліджень.</w:t>
      </w:r>
      <w:r>
        <w:t xml:space="preserve"> </w:t>
      </w:r>
      <w:r w:rsidRPr="00561111">
        <w:t>Вміння демонструвати сприйняття логічних аргументів для вироблення припущень та висновків.</w:t>
      </w:r>
    </w:p>
    <w:p w:rsidR="00746005" w:rsidRDefault="00746005" w:rsidP="00746005">
      <w:pPr>
        <w:tabs>
          <w:tab w:val="left" w:pos="1891"/>
        </w:tabs>
      </w:pPr>
    </w:p>
    <w:p w:rsidR="00746005" w:rsidRDefault="00746005" w:rsidP="00746005">
      <w:pPr>
        <w:tabs>
          <w:tab w:val="left" w:pos="0"/>
          <w:tab w:val="left" w:pos="284"/>
        </w:tabs>
        <w:jc w:val="both"/>
      </w:pPr>
      <w:r w:rsidRPr="00003B00">
        <w:rPr>
          <w:b/>
        </w:rPr>
        <w:t>Короткий зміст дисципліни (що буде вивчатися, перелік тем</w:t>
      </w:r>
      <w:r>
        <w:t>:</w:t>
      </w:r>
    </w:p>
    <w:p w:rsidR="00746005" w:rsidRPr="00F61D8F" w:rsidRDefault="00746005" w:rsidP="00746005">
      <w:pPr>
        <w:tabs>
          <w:tab w:val="left" w:pos="0"/>
          <w:tab w:val="left" w:pos="284"/>
        </w:tabs>
        <w:jc w:val="both"/>
        <w:rPr>
          <w:i/>
        </w:rPr>
      </w:pPr>
      <w:r>
        <w:t>Вивчатимуться природа виникнення рентгенівського випромінювання, неперервний та характеристичний рентгенівський спектри</w:t>
      </w:r>
      <w:r w:rsidRPr="00F61D8F">
        <w:t xml:space="preserve">. </w:t>
      </w:r>
      <w:r>
        <w:t>Дифракційні напрямки; закон</w:t>
      </w:r>
      <w:r w:rsidRPr="00702C03">
        <w:t xml:space="preserve"> Вульфа</w:t>
      </w:r>
      <w:r>
        <w:t>-Брегга,</w:t>
      </w:r>
      <w:r w:rsidRPr="00702C03">
        <w:t xml:space="preserve"> </w:t>
      </w:r>
      <w:r>
        <w:t xml:space="preserve">умови </w:t>
      </w:r>
      <w:proofErr w:type="spellStart"/>
      <w:r>
        <w:t>Лауе</w:t>
      </w:r>
      <w:proofErr w:type="spellEnd"/>
      <w:r>
        <w:t>.</w:t>
      </w:r>
      <w:r w:rsidRPr="009D0A3F">
        <w:t xml:space="preserve"> Розсіяння рентгенівських променів</w:t>
      </w:r>
      <w:r>
        <w:t xml:space="preserve"> у</w:t>
      </w:r>
      <w:r w:rsidRPr="009D0A3F">
        <w:t xml:space="preserve"> кристалах</w:t>
      </w:r>
      <w:r>
        <w:t>:</w:t>
      </w:r>
      <w:r w:rsidRPr="009D0A3F">
        <w:t xml:space="preserve"> структурна амплітуда</w:t>
      </w:r>
      <w:r>
        <w:t xml:space="preserve">; </w:t>
      </w:r>
      <w:r w:rsidRPr="00783A9A">
        <w:t>фактор</w:t>
      </w:r>
      <w:r>
        <w:t>и, що</w:t>
      </w:r>
      <w:r w:rsidRPr="00783A9A">
        <w:t xml:space="preserve"> </w:t>
      </w:r>
      <w:r>
        <w:t xml:space="preserve">вливають на інтенсивність розсіювання; </w:t>
      </w:r>
      <w:r w:rsidRPr="00783A9A">
        <w:t>правила погасання</w:t>
      </w:r>
      <w:r>
        <w:t xml:space="preserve">. </w:t>
      </w:r>
      <w:r w:rsidRPr="00FE5817">
        <w:t>Генерування</w:t>
      </w:r>
      <w:r>
        <w:t xml:space="preserve"> </w:t>
      </w:r>
      <w:r w:rsidRPr="00FE5817">
        <w:t>рентгенівського випромінювання</w:t>
      </w:r>
      <w:r>
        <w:t xml:space="preserve">, </w:t>
      </w:r>
      <w:r w:rsidRPr="00FE5817">
        <w:t xml:space="preserve">використання </w:t>
      </w:r>
      <w:proofErr w:type="spellStart"/>
      <w:r w:rsidRPr="00FE5817">
        <w:t>рентгенодифрак</w:t>
      </w:r>
      <w:r>
        <w:t>тометрів</w:t>
      </w:r>
      <w:proofErr w:type="spellEnd"/>
      <w:r>
        <w:t xml:space="preserve">; </w:t>
      </w:r>
      <w:r w:rsidRPr="00E26939">
        <w:t>особливості реєстрації дифракційної</w:t>
      </w:r>
      <w:r>
        <w:t xml:space="preserve"> </w:t>
      </w:r>
      <w:r w:rsidRPr="00E26939">
        <w:t xml:space="preserve">картини </w:t>
      </w:r>
      <w:proofErr w:type="spellStart"/>
      <w:r w:rsidRPr="00E26939">
        <w:t>дифрактометричним</w:t>
      </w:r>
      <w:proofErr w:type="spellEnd"/>
      <w:r w:rsidRPr="00E26939">
        <w:t xml:space="preserve"> методом</w:t>
      </w:r>
      <w:r>
        <w:t xml:space="preserve">; </w:t>
      </w:r>
      <w:r w:rsidRPr="00E26939">
        <w:t>фактори, що впливають</w:t>
      </w:r>
      <w:r>
        <w:t xml:space="preserve"> </w:t>
      </w:r>
      <w:r w:rsidRPr="00E26939">
        <w:t>на профіль дифракційного максимуму</w:t>
      </w:r>
      <w:r>
        <w:t xml:space="preserve">. Завдання, що розв’язуються методом порошку; розрахунки </w:t>
      </w:r>
      <w:proofErr w:type="spellStart"/>
      <w:r>
        <w:t>порошкограм</w:t>
      </w:r>
      <w:proofErr w:type="spellEnd"/>
      <w:r>
        <w:t xml:space="preserve">; застосування комп’ютерних програм для індексації </w:t>
      </w:r>
      <w:proofErr w:type="spellStart"/>
      <w:r>
        <w:t>порошкограм</w:t>
      </w:r>
      <w:proofErr w:type="spellEnd"/>
      <w:r>
        <w:t xml:space="preserve">. Розрахунки періодів </w:t>
      </w:r>
      <w:r>
        <w:lastRenderedPageBreak/>
        <w:t xml:space="preserve">решітки. Застосування поправок. Визначення типу решітки Браве за погасаннями. Визначення числа фаз та їх ідентифікація. Визначення областей гомогенності </w:t>
      </w:r>
      <w:proofErr w:type="spellStart"/>
      <w:r>
        <w:t>сполук</w:t>
      </w:r>
      <w:proofErr w:type="spellEnd"/>
      <w:r>
        <w:t xml:space="preserve"> та границь твердих розчинів. Апаратура і завдання методу </w:t>
      </w:r>
      <w:proofErr w:type="spellStart"/>
      <w:r>
        <w:t>Леуе</w:t>
      </w:r>
      <w:proofErr w:type="spellEnd"/>
      <w:r>
        <w:t xml:space="preserve">, визначення елементів симетрії за лауеграмою. Орієнтація кристалів за допомогою метода </w:t>
      </w:r>
      <w:proofErr w:type="spellStart"/>
      <w:r>
        <w:t>Лауе</w:t>
      </w:r>
      <w:proofErr w:type="spellEnd"/>
      <w:r>
        <w:t>. Опис дифракційної картини рентгенограм обертання за допомогою оберненої решітки. Особливості методу</w:t>
      </w:r>
      <w:r w:rsidRPr="005911A6">
        <w:rPr>
          <w:b/>
        </w:rPr>
        <w:t xml:space="preserve"> </w:t>
      </w:r>
      <w:r w:rsidRPr="005911A6">
        <w:t>коливання</w:t>
      </w:r>
      <w:r>
        <w:rPr>
          <w:b/>
        </w:rPr>
        <w:t xml:space="preserve"> (</w:t>
      </w:r>
      <w:proofErr w:type="spellStart"/>
      <w:r w:rsidRPr="005911A6">
        <w:t>Вейсенберга</w:t>
      </w:r>
      <w:proofErr w:type="spellEnd"/>
      <w:r>
        <w:t xml:space="preserve">). Визначення періодів решітки за допомогою </w:t>
      </w:r>
      <w:proofErr w:type="spellStart"/>
      <w:r>
        <w:t>рентгенгоніометричної</w:t>
      </w:r>
      <w:proofErr w:type="spellEnd"/>
      <w:r>
        <w:t xml:space="preserve"> зйомки. Метод </w:t>
      </w:r>
      <w:proofErr w:type="spellStart"/>
      <w:r>
        <w:t>Рітвельда</w:t>
      </w:r>
      <w:proofErr w:type="spellEnd"/>
      <w:r>
        <w:t xml:space="preserve">. Уточнення структури методом </w:t>
      </w:r>
      <w:proofErr w:type="spellStart"/>
      <w:r>
        <w:t>повнопрофільного</w:t>
      </w:r>
      <w:proofErr w:type="spellEnd"/>
      <w:r>
        <w:t xml:space="preserve"> аналізу</w:t>
      </w:r>
      <w:r w:rsidRPr="00D844B9">
        <w:t xml:space="preserve"> </w:t>
      </w:r>
      <w:proofErr w:type="spellStart"/>
      <w:r>
        <w:t>порошкограм</w:t>
      </w:r>
      <w:proofErr w:type="spellEnd"/>
      <w:r>
        <w:t>, використання комп’ютерних програм для уточнення структури.</w:t>
      </w:r>
    </w:p>
    <w:p w:rsidR="00746005" w:rsidRDefault="00746005" w:rsidP="00746005">
      <w:pPr>
        <w:ind w:left="1134" w:hanging="1134"/>
        <w:jc w:val="both"/>
      </w:pPr>
      <w:r>
        <w:t>Навчання здійснюватиметься згідно наступних тем:</w:t>
      </w:r>
    </w:p>
    <w:p w:rsidR="00746005" w:rsidRPr="00E23A4F" w:rsidRDefault="00746005" w:rsidP="00746005">
      <w:pPr>
        <w:ind w:left="1166" w:hanging="993"/>
        <w:jc w:val="both"/>
      </w:pPr>
      <w:r>
        <w:t>Тема</w:t>
      </w:r>
      <w:r>
        <w:rPr>
          <w:lang w:val="en-US"/>
        </w:rPr>
        <w:t> </w:t>
      </w:r>
      <w:r w:rsidRPr="00746A71">
        <w:t xml:space="preserve">1. </w:t>
      </w:r>
      <w:r w:rsidRPr="00E23A4F">
        <w:t xml:space="preserve">Природа і основні властивості рентгенівського випромінювання. </w:t>
      </w:r>
    </w:p>
    <w:p w:rsidR="00746005" w:rsidRPr="00E23A4F" w:rsidRDefault="00746005" w:rsidP="00746005">
      <w:pPr>
        <w:ind w:left="1166" w:hanging="993"/>
        <w:jc w:val="both"/>
      </w:pPr>
      <w:r w:rsidRPr="00E23A4F">
        <w:t>Тема 2. Дифракція рентгенівських променів.</w:t>
      </w:r>
    </w:p>
    <w:p w:rsidR="00746005" w:rsidRPr="00E23A4F" w:rsidRDefault="00746005" w:rsidP="00746005">
      <w:pPr>
        <w:ind w:left="1166" w:hanging="993"/>
        <w:jc w:val="both"/>
      </w:pPr>
      <w:r w:rsidRPr="00E23A4F">
        <w:t>Тема 3. Інтенсивності рентгенівських дифракційних максимумів.</w:t>
      </w:r>
    </w:p>
    <w:p w:rsidR="00746005" w:rsidRPr="00E23A4F" w:rsidRDefault="00746005" w:rsidP="00746005">
      <w:pPr>
        <w:ind w:left="1166" w:hanging="993"/>
        <w:jc w:val="both"/>
      </w:pPr>
      <w:r w:rsidRPr="00E23A4F">
        <w:t xml:space="preserve">Тема 4. Апаратура та методи рентгеноструктурних досліджень. </w:t>
      </w:r>
    </w:p>
    <w:p w:rsidR="00746005" w:rsidRPr="00E23A4F" w:rsidRDefault="00746005" w:rsidP="00746005">
      <w:pPr>
        <w:overflowPunct w:val="0"/>
        <w:autoSpaceDE w:val="0"/>
        <w:autoSpaceDN w:val="0"/>
        <w:adjustRightInd w:val="0"/>
        <w:ind w:left="1166" w:hanging="993"/>
        <w:jc w:val="both"/>
        <w:textAlignment w:val="baseline"/>
      </w:pPr>
      <w:r w:rsidRPr="00E23A4F">
        <w:t xml:space="preserve">Тема </w:t>
      </w:r>
      <w:r w:rsidRPr="005F52C8">
        <w:t>5</w:t>
      </w:r>
      <w:r w:rsidRPr="00E23A4F">
        <w:t>. Метод порошку.</w:t>
      </w:r>
    </w:p>
    <w:p w:rsidR="00746005" w:rsidRPr="00E23A4F" w:rsidRDefault="00746005" w:rsidP="00746005">
      <w:pPr>
        <w:overflowPunct w:val="0"/>
        <w:autoSpaceDE w:val="0"/>
        <w:autoSpaceDN w:val="0"/>
        <w:adjustRightInd w:val="0"/>
        <w:ind w:left="1166" w:hanging="992"/>
        <w:jc w:val="both"/>
        <w:textAlignment w:val="baseline"/>
      </w:pPr>
      <w:r w:rsidRPr="00E23A4F">
        <w:t xml:space="preserve">Тема </w:t>
      </w:r>
      <w:r>
        <w:t>6</w:t>
      </w:r>
      <w:r w:rsidRPr="00E23A4F">
        <w:t>. Рентгенівський фазовий аналіз (РФА).</w:t>
      </w:r>
    </w:p>
    <w:p w:rsidR="00746005" w:rsidRPr="00E23A4F" w:rsidRDefault="00746005" w:rsidP="00746005">
      <w:pPr>
        <w:overflowPunct w:val="0"/>
        <w:autoSpaceDE w:val="0"/>
        <w:autoSpaceDN w:val="0"/>
        <w:adjustRightInd w:val="0"/>
        <w:ind w:left="1166" w:hanging="992"/>
        <w:jc w:val="both"/>
        <w:textAlignment w:val="baseline"/>
        <w:rPr>
          <w:u w:val="single"/>
        </w:rPr>
      </w:pPr>
      <w:r w:rsidRPr="00E23A4F">
        <w:t xml:space="preserve">Тема </w:t>
      </w:r>
      <w:r>
        <w:t>7</w:t>
      </w:r>
      <w:r w:rsidRPr="00E23A4F">
        <w:t xml:space="preserve">. Метод </w:t>
      </w:r>
      <w:proofErr w:type="spellStart"/>
      <w:r w:rsidRPr="00E23A4F">
        <w:t>Лауе</w:t>
      </w:r>
      <w:proofErr w:type="spellEnd"/>
      <w:r w:rsidRPr="00E23A4F">
        <w:t>.</w:t>
      </w:r>
    </w:p>
    <w:p w:rsidR="00746005" w:rsidRPr="00E23A4F" w:rsidRDefault="00746005" w:rsidP="00746005">
      <w:pPr>
        <w:overflowPunct w:val="0"/>
        <w:autoSpaceDE w:val="0"/>
        <w:autoSpaceDN w:val="0"/>
        <w:adjustRightInd w:val="0"/>
        <w:ind w:left="1166" w:hanging="992"/>
        <w:jc w:val="both"/>
        <w:textAlignment w:val="baseline"/>
      </w:pPr>
      <w:r w:rsidRPr="00E23A4F">
        <w:t xml:space="preserve">Тема </w:t>
      </w:r>
      <w:r>
        <w:t>8</w:t>
      </w:r>
      <w:r w:rsidRPr="00E23A4F">
        <w:t xml:space="preserve">. Методи обертання та </w:t>
      </w:r>
      <w:proofErr w:type="spellStart"/>
      <w:r w:rsidRPr="00E23A4F">
        <w:t>Вейсенберга</w:t>
      </w:r>
      <w:proofErr w:type="spellEnd"/>
      <w:r w:rsidRPr="00E23A4F">
        <w:t>.</w:t>
      </w:r>
    </w:p>
    <w:p w:rsidR="00746005" w:rsidRDefault="00746005" w:rsidP="00746005">
      <w:pPr>
        <w:tabs>
          <w:tab w:val="left" w:pos="180"/>
        </w:tabs>
      </w:pPr>
      <w:r>
        <w:tab/>
      </w:r>
      <w:r w:rsidRPr="00E23A4F">
        <w:t xml:space="preserve">Тема </w:t>
      </w:r>
      <w:r>
        <w:t>9</w:t>
      </w:r>
      <w:r w:rsidRPr="00E23A4F">
        <w:t xml:space="preserve">. Уточнення структури методом </w:t>
      </w:r>
      <w:proofErr w:type="spellStart"/>
      <w:r w:rsidRPr="00E23A4F">
        <w:t>повнопрофільного</w:t>
      </w:r>
      <w:proofErr w:type="spellEnd"/>
      <w:r w:rsidRPr="00E23A4F">
        <w:t xml:space="preserve"> аналізу </w:t>
      </w:r>
      <w:proofErr w:type="spellStart"/>
      <w:r w:rsidRPr="00E23A4F">
        <w:t>порошкограм</w:t>
      </w:r>
      <w:proofErr w:type="spellEnd"/>
      <w:r w:rsidRPr="00E23A4F">
        <w:t xml:space="preserve">. Метод </w:t>
      </w:r>
      <w:proofErr w:type="spellStart"/>
      <w:r w:rsidRPr="00E23A4F">
        <w:t>Рітвельда</w:t>
      </w:r>
      <w:proofErr w:type="spellEnd"/>
      <w:r w:rsidRPr="00746A71">
        <w:t>.</w:t>
      </w:r>
    </w:p>
    <w:p w:rsidR="005A158D" w:rsidRDefault="005A158D">
      <w:bookmarkStart w:id="0" w:name="_GoBack"/>
      <w:bookmarkEnd w:id="0"/>
    </w:p>
    <w:sectPr w:rsidR="005A158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TB9819358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005"/>
    <w:rsid w:val="005A158D"/>
    <w:rsid w:val="00724807"/>
    <w:rsid w:val="00746005"/>
    <w:rsid w:val="009C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1C2DDA-7E17-46BB-8C01-A7C8F7CB3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org1</dc:creator>
  <cp:keywords/>
  <dc:description/>
  <cp:lastModifiedBy>org1</cp:lastModifiedBy>
  <cp:revision>1</cp:revision>
  <dcterms:created xsi:type="dcterms:W3CDTF">2023-12-27T14:25:00Z</dcterms:created>
  <dcterms:modified xsi:type="dcterms:W3CDTF">2023-12-27T14:25:00Z</dcterms:modified>
</cp:coreProperties>
</file>