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2D5A55" w14:paraId="1E925E3B" w14:textId="77777777" w:rsidTr="002D5A55">
        <w:trPr>
          <w:trHeight w:val="369"/>
        </w:trPr>
        <w:tc>
          <w:tcPr>
            <w:tcW w:w="4117" w:type="dxa"/>
          </w:tcPr>
          <w:p w14:paraId="46BCE53F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57B38F6E" w14:textId="6CEF3FFF" w:rsidR="002D5A55" w:rsidRPr="002670F2" w:rsidRDefault="00DF100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Правовий і соціальний захист дітей та молоді</w:t>
            </w:r>
          </w:p>
        </w:tc>
      </w:tr>
      <w:tr w:rsidR="002D5A55" w14:paraId="042169AD" w14:textId="77777777" w:rsidTr="002D5A55">
        <w:trPr>
          <w:trHeight w:val="371"/>
        </w:trPr>
        <w:tc>
          <w:tcPr>
            <w:tcW w:w="4117" w:type="dxa"/>
          </w:tcPr>
          <w:p w14:paraId="7035CD28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5B0C5B8F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Бакалавр</w:t>
            </w:r>
          </w:p>
        </w:tc>
      </w:tr>
      <w:tr w:rsidR="002D5A55" w14:paraId="363EB0A5" w14:textId="77777777" w:rsidTr="002D5A55">
        <w:trPr>
          <w:trHeight w:val="369"/>
        </w:trPr>
        <w:tc>
          <w:tcPr>
            <w:tcW w:w="4117" w:type="dxa"/>
          </w:tcPr>
          <w:p w14:paraId="10DFB478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711B0FEB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4 </w:t>
            </w:r>
          </w:p>
        </w:tc>
      </w:tr>
      <w:tr w:rsidR="002D5A55" w14:paraId="60F7C8E5" w14:textId="77777777" w:rsidTr="002D5A55">
        <w:trPr>
          <w:trHeight w:val="371"/>
        </w:trPr>
        <w:tc>
          <w:tcPr>
            <w:tcW w:w="4117" w:type="dxa"/>
          </w:tcPr>
          <w:p w14:paraId="1E0B709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37EB8270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</w:t>
            </w:r>
          </w:p>
        </w:tc>
      </w:tr>
      <w:tr w:rsidR="002D5A55" w14:paraId="1678ED1D" w14:textId="77777777" w:rsidTr="002D5A55">
        <w:trPr>
          <w:trHeight w:val="369"/>
        </w:trPr>
        <w:tc>
          <w:tcPr>
            <w:tcW w:w="4117" w:type="dxa"/>
          </w:tcPr>
          <w:p w14:paraId="1CE2DA9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45E8FE84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</w:tr>
      <w:tr w:rsidR="002D5A55" w14:paraId="361B98F6" w14:textId="77777777" w:rsidTr="002D5A55">
        <w:trPr>
          <w:trHeight w:val="369"/>
        </w:trPr>
        <w:tc>
          <w:tcPr>
            <w:tcW w:w="4117" w:type="dxa"/>
          </w:tcPr>
          <w:p w14:paraId="382D3F3D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3ADFC880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Українська</w:t>
            </w:r>
          </w:p>
        </w:tc>
      </w:tr>
      <w:tr w:rsidR="002D5A55" w14:paraId="634C2793" w14:textId="77777777" w:rsidTr="002D5A55">
        <w:trPr>
          <w:trHeight w:val="645"/>
        </w:trPr>
        <w:tc>
          <w:tcPr>
            <w:tcW w:w="4117" w:type="dxa"/>
          </w:tcPr>
          <w:p w14:paraId="5BC7F3A0" w14:textId="77777777" w:rsidR="002D5A55" w:rsidRDefault="002D5A55" w:rsidP="002D5A5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20DA2E4C" w14:textId="77777777" w:rsidR="002D5A55" w:rsidRDefault="002D5A55" w:rsidP="002D5A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3B3BCB99" w14:textId="77777777" w:rsidR="002D5A55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10 – конституційне право України</w:t>
            </w:r>
          </w:p>
          <w:p w14:paraId="7FFE8ECF" w14:textId="77777777" w:rsidR="002D5A55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24 – конституційне право зарубіжних країн</w:t>
            </w:r>
          </w:p>
          <w:p w14:paraId="123E769C" w14:textId="31E6488E" w:rsidR="00A063E7" w:rsidRPr="00A063E7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ОК </w:t>
            </w:r>
            <w:r w:rsidR="00A063E7">
              <w:rPr>
                <w:sz w:val="26"/>
                <w:lang w:val="uk-UA"/>
              </w:rPr>
              <w:t>32 – к</w:t>
            </w:r>
            <w:r w:rsidR="00A063E7" w:rsidRPr="00A063E7">
              <w:rPr>
                <w:sz w:val="26"/>
                <w:lang w:val="uk-UA"/>
              </w:rPr>
              <w:t>онвенція про захист прав і</w:t>
            </w:r>
          </w:p>
          <w:p w14:paraId="63B9A06B" w14:textId="01590662" w:rsidR="002D5A55" w:rsidRPr="006A591B" w:rsidRDefault="00A063E7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 w:rsidRPr="00A063E7">
              <w:rPr>
                <w:sz w:val="26"/>
                <w:lang w:val="uk-UA"/>
              </w:rPr>
              <w:t>основоположних свобод людини</w:t>
            </w:r>
          </w:p>
        </w:tc>
      </w:tr>
      <w:tr w:rsidR="002D5A55" w14:paraId="455A88C6" w14:textId="77777777" w:rsidTr="002D5A55">
        <w:trPr>
          <w:trHeight w:val="642"/>
        </w:trPr>
        <w:tc>
          <w:tcPr>
            <w:tcW w:w="4117" w:type="dxa"/>
          </w:tcPr>
          <w:p w14:paraId="7B971228" w14:textId="77777777" w:rsidR="002D5A55" w:rsidRPr="002336E2" w:rsidRDefault="002D5A55" w:rsidP="002D5A5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bookmarkStart w:id="0" w:name="_GoBack"/>
            <w:r w:rsidRPr="002336E2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2336E2">
              <w:rPr>
                <w:sz w:val="28"/>
                <w:lang w:val="ru-RU"/>
              </w:rPr>
              <w:t>забезпечує</w:t>
            </w:r>
            <w:proofErr w:type="spellEnd"/>
          </w:p>
          <w:p w14:paraId="6DA08DFA" w14:textId="77777777" w:rsidR="002D5A55" w:rsidRPr="002336E2" w:rsidRDefault="002D5A55" w:rsidP="002D5A5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2336E2">
              <w:rPr>
                <w:sz w:val="28"/>
                <w:lang w:val="ru-RU"/>
              </w:rPr>
              <w:t>викладання</w:t>
            </w:r>
            <w:proofErr w:type="spellEnd"/>
            <w:r w:rsidRPr="002336E2">
              <w:rPr>
                <w:sz w:val="28"/>
                <w:lang w:val="ru-RU"/>
              </w:rPr>
              <w:t xml:space="preserve"> </w:t>
            </w:r>
            <w:proofErr w:type="spellStart"/>
            <w:r w:rsidRPr="002336E2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43739CFE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bookmarkEnd w:id="0"/>
      <w:tr w:rsidR="002D5A55" w14:paraId="41100E13" w14:textId="77777777" w:rsidTr="002D5A55">
        <w:trPr>
          <w:trHeight w:val="371"/>
        </w:trPr>
        <w:tc>
          <w:tcPr>
            <w:tcW w:w="4117" w:type="dxa"/>
          </w:tcPr>
          <w:p w14:paraId="3D3DFF3A" w14:textId="77777777" w:rsidR="002D5A55" w:rsidRDefault="002D5A55" w:rsidP="002D5A5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0E75321C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 та «</w:t>
            </w:r>
            <w:r>
              <w:rPr>
                <w:sz w:val="26"/>
              </w:rPr>
              <w:t>Google Meet</w:t>
            </w:r>
            <w:r>
              <w:rPr>
                <w:sz w:val="26"/>
                <w:lang w:val="uk-UA"/>
              </w:rPr>
              <w:t>»</w:t>
            </w:r>
          </w:p>
        </w:tc>
      </w:tr>
      <w:tr w:rsidR="002D5A55" w14:paraId="1046A596" w14:textId="77777777" w:rsidTr="002D5A55">
        <w:trPr>
          <w:trHeight w:val="369"/>
        </w:trPr>
        <w:tc>
          <w:tcPr>
            <w:tcW w:w="4117" w:type="dxa"/>
          </w:tcPr>
          <w:p w14:paraId="1FF8C7B2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2611B482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2D5A55" w14:paraId="63A5AC36" w14:textId="77777777" w:rsidTr="002D5A55">
        <w:trPr>
          <w:trHeight w:val="371"/>
        </w:trPr>
        <w:tc>
          <w:tcPr>
            <w:tcW w:w="4117" w:type="dxa"/>
          </w:tcPr>
          <w:p w14:paraId="014B347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3D28DCA6" w14:textId="2377F346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</w:t>
            </w:r>
          </w:p>
        </w:tc>
      </w:tr>
    </w:tbl>
    <w:p w14:paraId="1A5FFA1D" w14:textId="2DE2B948" w:rsidR="002D5A55" w:rsidRDefault="002D5A55"/>
    <w:p w14:paraId="6DEACCEE" w14:textId="63C4B521" w:rsidR="002D5A55" w:rsidRDefault="002D5A55"/>
    <w:p w14:paraId="0C6597C5" w14:textId="307C1FCF" w:rsidR="002D5A55" w:rsidRDefault="002D5A55"/>
    <w:p w14:paraId="147C8182" w14:textId="5F378EBE" w:rsidR="002D5A55" w:rsidRPr="002336E2" w:rsidRDefault="002D5A55" w:rsidP="00DF1005">
      <w:pPr>
        <w:pStyle w:val="a3"/>
        <w:ind w:left="258"/>
        <w:jc w:val="both"/>
        <w:rPr>
          <w:b/>
          <w:bCs/>
        </w:rPr>
      </w:pPr>
      <w:r w:rsidRPr="00351E40">
        <w:rPr>
          <w:b/>
          <w:bCs/>
        </w:rPr>
        <w:t>Ключові результати навчання (знання, уміння та інші компетентності):</w:t>
      </w:r>
      <w:r w:rsidR="002336E2">
        <w:rPr>
          <w:b/>
          <w:bCs/>
        </w:rPr>
        <w:t xml:space="preserve"> </w:t>
      </w:r>
      <w:r w:rsidR="00DF1005" w:rsidRPr="00DF1005">
        <w:rPr>
          <w:lang w:eastAsia="ru-RU"/>
        </w:rPr>
        <w:t xml:space="preserve">знання, отримані в результаті вивчення спецкурсу «Правовий і соціальний захист дітей та молоді» можуть застосовуватися як у особистій, так і професійній сферах, зокрема: у діяльності органів студентського самоврядування, молодіжних центрах, молодіжних та дитячих громадських організаціях тощо, у процесі здійснення професійної діяльності (в роботі адвоката, прокурора, державного службовця, юрисконсульта тощо); наявність отриманих знань, навичок та </w:t>
      </w:r>
      <w:proofErr w:type="spellStart"/>
      <w:r w:rsidR="00DF1005" w:rsidRPr="00DF1005">
        <w:rPr>
          <w:lang w:eastAsia="ru-RU"/>
        </w:rPr>
        <w:t>компетентностей</w:t>
      </w:r>
      <w:proofErr w:type="spellEnd"/>
      <w:r w:rsidR="00DF1005" w:rsidRPr="00DF1005">
        <w:rPr>
          <w:lang w:eastAsia="ru-RU"/>
        </w:rPr>
        <w:t xml:space="preserve"> підвищує рівень конкурентоспроможності фахівця.</w:t>
      </w:r>
    </w:p>
    <w:p w14:paraId="47A9A1EF" w14:textId="77777777" w:rsidR="002D5A55" w:rsidRDefault="002D5A55" w:rsidP="00A063E7">
      <w:pPr>
        <w:pStyle w:val="a3"/>
        <w:spacing w:before="89"/>
        <w:rPr>
          <w:b/>
          <w:bCs/>
        </w:rPr>
      </w:pPr>
    </w:p>
    <w:p w14:paraId="2943EEEF" w14:textId="2DAFDF4A" w:rsidR="00A063E7" w:rsidRPr="00DF1005" w:rsidRDefault="002D5A55" w:rsidP="00DF1005">
      <w:pPr>
        <w:pStyle w:val="a3"/>
        <w:spacing w:before="89"/>
        <w:ind w:left="258"/>
        <w:jc w:val="both"/>
      </w:pPr>
      <w:r w:rsidRPr="00351E40">
        <w:rPr>
          <w:b/>
          <w:bCs/>
        </w:rPr>
        <w:t>Короткий зміст дисципліни (що буде вивчатися, перелік тем):</w:t>
      </w:r>
      <w:r w:rsidR="002336E2">
        <w:rPr>
          <w:b/>
          <w:bCs/>
        </w:rPr>
        <w:t xml:space="preserve"> </w:t>
      </w:r>
      <w:r w:rsidR="00DF1005">
        <w:t xml:space="preserve">Основи </w:t>
      </w:r>
      <w:r w:rsidR="00DF1005" w:rsidRPr="00DF1005">
        <w:t>державної молодіжної політики в Україні</w:t>
      </w:r>
      <w:r w:rsidR="00DF1005">
        <w:t>. М</w:t>
      </w:r>
      <w:r w:rsidR="00DF1005" w:rsidRPr="00DF1005">
        <w:t>іжнародний досвід підтримки молоді</w:t>
      </w:r>
      <w:r w:rsidR="00DF1005">
        <w:t>.</w:t>
      </w:r>
      <w:r w:rsidR="00DF1005" w:rsidRPr="00DF1005">
        <w:t xml:space="preserve"> </w:t>
      </w:r>
      <w:r w:rsidR="00DF1005">
        <w:t>М</w:t>
      </w:r>
      <w:r w:rsidR="00DF1005" w:rsidRPr="00DF1005">
        <w:t>олодіжна політика ЄС та окремих зарубіжних країн</w:t>
      </w:r>
      <w:r w:rsidR="00DF1005">
        <w:t>.</w:t>
      </w:r>
      <w:r w:rsidR="00DF1005" w:rsidRPr="00DF1005">
        <w:t xml:space="preserve"> </w:t>
      </w:r>
      <w:r w:rsidR="00DF1005">
        <w:t>П</w:t>
      </w:r>
      <w:r w:rsidR="00DF1005" w:rsidRPr="00DF1005">
        <w:t>равові засади молодіжного руху</w:t>
      </w:r>
      <w:r w:rsidR="00DF1005">
        <w:t>.</w:t>
      </w:r>
      <w:r w:rsidR="00DF1005" w:rsidRPr="00DF1005">
        <w:t xml:space="preserve"> </w:t>
      </w:r>
      <w:r w:rsidR="00DF1005">
        <w:t>П</w:t>
      </w:r>
      <w:r w:rsidR="00DF1005" w:rsidRPr="00DF1005">
        <w:t>итання становлення та розвитку законодавства України щодо соціально захисту дітей та молоді</w:t>
      </w:r>
      <w:r w:rsidR="00DF1005">
        <w:t>.</w:t>
      </w:r>
      <w:r w:rsidR="00DF1005" w:rsidRPr="00DF1005">
        <w:t xml:space="preserve"> </w:t>
      </w:r>
      <w:r w:rsidR="00DF1005">
        <w:t>П</w:t>
      </w:r>
      <w:r w:rsidR="00DF1005" w:rsidRPr="00DF1005">
        <w:t>оняття, ознак</w:t>
      </w:r>
      <w:r w:rsidR="00DF1005">
        <w:t>и</w:t>
      </w:r>
      <w:r w:rsidR="00DF1005" w:rsidRPr="00DF1005">
        <w:t>, форм</w:t>
      </w:r>
      <w:r w:rsidR="00DF1005">
        <w:t>и</w:t>
      </w:r>
      <w:r w:rsidR="00DF1005" w:rsidRPr="00DF1005">
        <w:t>, вид</w:t>
      </w:r>
      <w:r w:rsidR="00DF1005">
        <w:t>и</w:t>
      </w:r>
      <w:r w:rsidR="00DF1005" w:rsidRPr="00DF1005">
        <w:t xml:space="preserve"> та механізм</w:t>
      </w:r>
      <w:r w:rsidR="00DF1005">
        <w:t>и</w:t>
      </w:r>
      <w:r w:rsidR="00DF1005" w:rsidRPr="00DF1005">
        <w:t xml:space="preserve"> соціального захисту</w:t>
      </w:r>
      <w:r w:rsidR="00DF1005">
        <w:t xml:space="preserve"> дітей та молоді</w:t>
      </w:r>
      <w:r w:rsidR="00DF1005" w:rsidRPr="00DF1005">
        <w:t>.</w:t>
      </w:r>
      <w:r w:rsidR="00DF1005">
        <w:t xml:space="preserve"> П</w:t>
      </w:r>
      <w:r w:rsidR="00DF1005" w:rsidRPr="00DF1005">
        <w:t>роблем</w:t>
      </w:r>
      <w:r w:rsidR="00DF1005">
        <w:t>и</w:t>
      </w:r>
      <w:r w:rsidR="00DF1005" w:rsidRPr="00DF1005">
        <w:t xml:space="preserve"> правового забезпечення окремих видів соціального захисту дітей та молоді: в сфері зайнятості, підприємництва та працевлаштування, освіти, охорони здоров’я, соціального обслуговування тощо.</w:t>
      </w:r>
    </w:p>
    <w:sectPr w:rsidR="00A063E7" w:rsidRPr="00DF1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82"/>
    <w:rsid w:val="000A1382"/>
    <w:rsid w:val="002336E2"/>
    <w:rsid w:val="002D5A55"/>
    <w:rsid w:val="00920DCB"/>
    <w:rsid w:val="00A063E7"/>
    <w:rsid w:val="00CA772A"/>
    <w:rsid w:val="00D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739B"/>
  <w15:chartTrackingRefBased/>
  <w15:docId w15:val="{E190E03C-E098-43B2-B0C2-D600E6E5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A55"/>
    <w:pPr>
      <w:ind w:left="107"/>
    </w:pPr>
  </w:style>
  <w:style w:type="paragraph" w:styleId="a3">
    <w:name w:val="Body Text"/>
    <w:basedOn w:val="a"/>
    <w:link w:val="a4"/>
    <w:uiPriority w:val="1"/>
    <w:qFormat/>
    <w:rsid w:val="002D5A55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D5A5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2</cp:revision>
  <dcterms:created xsi:type="dcterms:W3CDTF">2021-12-30T16:34:00Z</dcterms:created>
  <dcterms:modified xsi:type="dcterms:W3CDTF">2021-12-30T16:34:00Z</dcterms:modified>
</cp:coreProperties>
</file>