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2"/>
      </w:tblGrid>
      <w:tr w:rsidR="002D5A55" w14:paraId="1E925E3B" w14:textId="77777777" w:rsidTr="002D5A55">
        <w:trPr>
          <w:trHeight w:val="369"/>
        </w:trPr>
        <w:tc>
          <w:tcPr>
            <w:tcW w:w="4117" w:type="dxa"/>
          </w:tcPr>
          <w:p w14:paraId="46BCE53F" w14:textId="77777777" w:rsidR="002D5A55" w:rsidRDefault="002D5A55" w:rsidP="002D5A5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Назва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дисципліни</w:t>
            </w:r>
            <w:proofErr w:type="spellEnd"/>
          </w:p>
        </w:tc>
        <w:tc>
          <w:tcPr>
            <w:tcW w:w="5632" w:type="dxa"/>
          </w:tcPr>
          <w:p w14:paraId="57B38F6E" w14:textId="36CC0A58" w:rsidR="002D5A55" w:rsidRPr="002670F2" w:rsidRDefault="002D5A55" w:rsidP="002D5A55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Захист прав людини в ЄСПЛ</w:t>
            </w:r>
          </w:p>
        </w:tc>
      </w:tr>
      <w:tr w:rsidR="002D5A55" w14:paraId="042169AD" w14:textId="77777777" w:rsidTr="002D5A55">
        <w:trPr>
          <w:trHeight w:val="371"/>
        </w:trPr>
        <w:tc>
          <w:tcPr>
            <w:tcW w:w="4117" w:type="dxa"/>
          </w:tcPr>
          <w:p w14:paraId="7035CD28" w14:textId="77777777" w:rsidR="002D5A55" w:rsidRDefault="002D5A55" w:rsidP="002D5A5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Рівень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вищої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освіти</w:t>
            </w:r>
            <w:proofErr w:type="spellEnd"/>
          </w:p>
        </w:tc>
        <w:tc>
          <w:tcPr>
            <w:tcW w:w="5632" w:type="dxa"/>
          </w:tcPr>
          <w:p w14:paraId="5B0C5B8F" w14:textId="77777777" w:rsidR="002D5A55" w:rsidRPr="002670F2" w:rsidRDefault="002D5A55" w:rsidP="002D5A55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Бакалавр</w:t>
            </w:r>
          </w:p>
        </w:tc>
      </w:tr>
      <w:tr w:rsidR="002D5A55" w14:paraId="363EB0A5" w14:textId="77777777" w:rsidTr="002D5A55">
        <w:trPr>
          <w:trHeight w:val="369"/>
        </w:trPr>
        <w:tc>
          <w:tcPr>
            <w:tcW w:w="4117" w:type="dxa"/>
          </w:tcPr>
          <w:p w14:paraId="10DFB478" w14:textId="77777777" w:rsidR="002D5A55" w:rsidRDefault="002D5A55" w:rsidP="002D5A5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Курс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рік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навчання</w:t>
            </w:r>
            <w:proofErr w:type="spellEnd"/>
          </w:p>
        </w:tc>
        <w:tc>
          <w:tcPr>
            <w:tcW w:w="5632" w:type="dxa"/>
          </w:tcPr>
          <w:p w14:paraId="711B0FEB" w14:textId="77777777" w:rsidR="002D5A55" w:rsidRPr="002670F2" w:rsidRDefault="002D5A55" w:rsidP="002D5A55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4 </w:t>
            </w:r>
          </w:p>
        </w:tc>
      </w:tr>
      <w:tr w:rsidR="002D5A55" w14:paraId="60F7C8E5" w14:textId="77777777" w:rsidTr="002D5A55">
        <w:trPr>
          <w:trHeight w:val="371"/>
        </w:trPr>
        <w:tc>
          <w:tcPr>
            <w:tcW w:w="4117" w:type="dxa"/>
          </w:tcPr>
          <w:p w14:paraId="1E0B709A" w14:textId="77777777" w:rsidR="002D5A55" w:rsidRDefault="002D5A55" w:rsidP="002D5A5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Семестр</w:t>
            </w:r>
            <w:proofErr w:type="spellEnd"/>
          </w:p>
        </w:tc>
        <w:tc>
          <w:tcPr>
            <w:tcW w:w="5632" w:type="dxa"/>
          </w:tcPr>
          <w:p w14:paraId="37EB8270" w14:textId="77777777" w:rsidR="002D5A55" w:rsidRPr="002670F2" w:rsidRDefault="002D5A55" w:rsidP="002D5A55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7</w:t>
            </w:r>
          </w:p>
        </w:tc>
      </w:tr>
      <w:tr w:rsidR="002D5A55" w14:paraId="1678ED1D" w14:textId="77777777" w:rsidTr="002D5A55">
        <w:trPr>
          <w:trHeight w:val="369"/>
        </w:trPr>
        <w:tc>
          <w:tcPr>
            <w:tcW w:w="4117" w:type="dxa"/>
          </w:tcPr>
          <w:p w14:paraId="1CE2DA9A" w14:textId="77777777" w:rsidR="002D5A55" w:rsidRDefault="002D5A55" w:rsidP="002D5A5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Обсяг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дисципліни</w:t>
            </w:r>
            <w:proofErr w:type="spellEnd"/>
            <w:r>
              <w:rPr>
                <w:sz w:val="28"/>
              </w:rPr>
              <w:t xml:space="preserve"> у </w:t>
            </w:r>
            <w:proofErr w:type="spellStart"/>
            <w:r>
              <w:rPr>
                <w:sz w:val="28"/>
              </w:rPr>
              <w:t>кредитах</w:t>
            </w:r>
            <w:proofErr w:type="spellEnd"/>
            <w:r>
              <w:rPr>
                <w:sz w:val="28"/>
              </w:rPr>
              <w:t>*</w:t>
            </w:r>
          </w:p>
        </w:tc>
        <w:tc>
          <w:tcPr>
            <w:tcW w:w="5632" w:type="dxa"/>
          </w:tcPr>
          <w:p w14:paraId="45E8FE84" w14:textId="77777777" w:rsidR="002D5A55" w:rsidRPr="002670F2" w:rsidRDefault="002D5A55" w:rsidP="002D5A55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</w:t>
            </w:r>
          </w:p>
        </w:tc>
      </w:tr>
      <w:tr w:rsidR="002D5A55" w14:paraId="361B98F6" w14:textId="77777777" w:rsidTr="002D5A55">
        <w:trPr>
          <w:trHeight w:val="369"/>
        </w:trPr>
        <w:tc>
          <w:tcPr>
            <w:tcW w:w="4117" w:type="dxa"/>
          </w:tcPr>
          <w:p w14:paraId="382D3F3D" w14:textId="77777777" w:rsidR="002D5A55" w:rsidRDefault="002D5A55" w:rsidP="002D5A5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викладання</w:t>
            </w:r>
            <w:proofErr w:type="spellEnd"/>
          </w:p>
        </w:tc>
        <w:tc>
          <w:tcPr>
            <w:tcW w:w="5632" w:type="dxa"/>
          </w:tcPr>
          <w:p w14:paraId="3ADFC880" w14:textId="77777777" w:rsidR="002D5A55" w:rsidRPr="002670F2" w:rsidRDefault="002D5A55" w:rsidP="002D5A55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Українська</w:t>
            </w:r>
          </w:p>
        </w:tc>
      </w:tr>
      <w:tr w:rsidR="002D5A55" w14:paraId="634C2793" w14:textId="77777777" w:rsidTr="002D5A55">
        <w:trPr>
          <w:trHeight w:val="645"/>
        </w:trPr>
        <w:tc>
          <w:tcPr>
            <w:tcW w:w="4117" w:type="dxa"/>
          </w:tcPr>
          <w:p w14:paraId="5BC7F3A0" w14:textId="77777777" w:rsidR="002D5A55" w:rsidRDefault="002D5A55" w:rsidP="002D5A55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Передумови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вивчення</w:t>
            </w:r>
            <w:proofErr w:type="spellEnd"/>
          </w:p>
          <w:p w14:paraId="20DA2E4C" w14:textId="77777777" w:rsidR="002D5A55" w:rsidRDefault="002D5A55" w:rsidP="002D5A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  <w:lang w:val="uk-UA"/>
              </w:rPr>
              <w:t>д</w:t>
            </w:r>
            <w:proofErr w:type="spellStart"/>
            <w:r>
              <w:rPr>
                <w:sz w:val="28"/>
              </w:rPr>
              <w:t>исципліни</w:t>
            </w:r>
            <w:proofErr w:type="spellEnd"/>
          </w:p>
        </w:tc>
        <w:tc>
          <w:tcPr>
            <w:tcW w:w="5632" w:type="dxa"/>
          </w:tcPr>
          <w:p w14:paraId="3B3BCB99" w14:textId="77777777" w:rsidR="002D5A55" w:rsidRDefault="002D5A55" w:rsidP="00A063E7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ОК 10 – конституційне право України</w:t>
            </w:r>
          </w:p>
          <w:p w14:paraId="7FFE8ECF" w14:textId="77777777" w:rsidR="002D5A55" w:rsidRDefault="002D5A55" w:rsidP="00A063E7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ОК 24 – конституційне право зарубіжних країн</w:t>
            </w:r>
          </w:p>
          <w:p w14:paraId="123E769C" w14:textId="31E6488E" w:rsidR="00A063E7" w:rsidRPr="00A063E7" w:rsidRDefault="002D5A55" w:rsidP="00A063E7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ОК </w:t>
            </w:r>
            <w:r w:rsidR="00A063E7">
              <w:rPr>
                <w:sz w:val="26"/>
                <w:lang w:val="uk-UA"/>
              </w:rPr>
              <w:t>32 – к</w:t>
            </w:r>
            <w:r w:rsidR="00A063E7" w:rsidRPr="00A063E7">
              <w:rPr>
                <w:sz w:val="26"/>
                <w:lang w:val="uk-UA"/>
              </w:rPr>
              <w:t>онвенція про захист прав і</w:t>
            </w:r>
          </w:p>
          <w:p w14:paraId="63B9A06B" w14:textId="01590662" w:rsidR="002D5A55" w:rsidRPr="006A591B" w:rsidRDefault="00A063E7" w:rsidP="00A063E7">
            <w:pPr>
              <w:pStyle w:val="TableParagraph"/>
              <w:ind w:left="0"/>
              <w:rPr>
                <w:sz w:val="26"/>
                <w:lang w:val="uk-UA"/>
              </w:rPr>
            </w:pPr>
            <w:r w:rsidRPr="00A063E7">
              <w:rPr>
                <w:sz w:val="26"/>
                <w:lang w:val="uk-UA"/>
              </w:rPr>
              <w:t>основоположних свобод людини</w:t>
            </w:r>
          </w:p>
        </w:tc>
      </w:tr>
      <w:tr w:rsidR="002D5A55" w14:paraId="455A88C6" w14:textId="77777777" w:rsidTr="002D5A55">
        <w:trPr>
          <w:trHeight w:val="642"/>
        </w:trPr>
        <w:tc>
          <w:tcPr>
            <w:tcW w:w="4117" w:type="dxa"/>
          </w:tcPr>
          <w:p w14:paraId="7B971228" w14:textId="77777777" w:rsidR="002D5A55" w:rsidRPr="002336E2" w:rsidRDefault="002D5A55" w:rsidP="002D5A55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2336E2">
              <w:rPr>
                <w:sz w:val="28"/>
                <w:lang w:val="ru-RU"/>
              </w:rPr>
              <w:t xml:space="preserve">Кафедра, яка </w:t>
            </w:r>
            <w:proofErr w:type="spellStart"/>
            <w:r w:rsidRPr="002336E2">
              <w:rPr>
                <w:sz w:val="28"/>
                <w:lang w:val="ru-RU"/>
              </w:rPr>
              <w:t>забезпечує</w:t>
            </w:r>
            <w:proofErr w:type="spellEnd"/>
          </w:p>
          <w:p w14:paraId="6DA08DFA" w14:textId="77777777" w:rsidR="002D5A55" w:rsidRPr="002336E2" w:rsidRDefault="002D5A55" w:rsidP="002D5A55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spellStart"/>
            <w:r w:rsidRPr="002336E2">
              <w:rPr>
                <w:sz w:val="28"/>
                <w:lang w:val="ru-RU"/>
              </w:rPr>
              <w:t>викладання</w:t>
            </w:r>
            <w:proofErr w:type="spellEnd"/>
            <w:r w:rsidRPr="002336E2">
              <w:rPr>
                <w:sz w:val="28"/>
                <w:lang w:val="ru-RU"/>
              </w:rPr>
              <w:t xml:space="preserve"> </w:t>
            </w:r>
            <w:proofErr w:type="spellStart"/>
            <w:r w:rsidRPr="002336E2">
              <w:rPr>
                <w:sz w:val="28"/>
                <w:lang w:val="ru-RU"/>
              </w:rPr>
              <w:t>дисципліни</w:t>
            </w:r>
            <w:proofErr w:type="spellEnd"/>
          </w:p>
        </w:tc>
        <w:tc>
          <w:tcPr>
            <w:tcW w:w="5632" w:type="dxa"/>
          </w:tcPr>
          <w:p w14:paraId="43739CFE" w14:textId="77777777" w:rsidR="002D5A55" w:rsidRPr="002670F2" w:rsidRDefault="002D5A55" w:rsidP="002D5A55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Конституційного права та порівняльного правознавства</w:t>
            </w:r>
          </w:p>
        </w:tc>
      </w:tr>
      <w:tr w:rsidR="002D5A55" w14:paraId="41100E13" w14:textId="77777777" w:rsidTr="002D5A55">
        <w:trPr>
          <w:trHeight w:val="371"/>
        </w:trPr>
        <w:tc>
          <w:tcPr>
            <w:tcW w:w="4117" w:type="dxa"/>
          </w:tcPr>
          <w:p w14:paraId="3D3DFF3A" w14:textId="77777777" w:rsidR="002D5A55" w:rsidRDefault="002D5A55" w:rsidP="002D5A55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Інформаційне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</w:p>
        </w:tc>
        <w:tc>
          <w:tcPr>
            <w:tcW w:w="5632" w:type="dxa"/>
          </w:tcPr>
          <w:p w14:paraId="0E75321C" w14:textId="77777777" w:rsidR="002D5A55" w:rsidRPr="002670F2" w:rsidRDefault="002D5A55" w:rsidP="002D5A55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Освітня платформа «</w:t>
            </w:r>
            <w:r>
              <w:rPr>
                <w:sz w:val="26"/>
              </w:rPr>
              <w:t>Moodle</w:t>
            </w:r>
            <w:r>
              <w:rPr>
                <w:sz w:val="26"/>
                <w:lang w:val="uk-UA"/>
              </w:rPr>
              <w:t>» та «</w:t>
            </w:r>
            <w:r>
              <w:rPr>
                <w:sz w:val="26"/>
              </w:rPr>
              <w:t>Google Meet</w:t>
            </w:r>
            <w:r>
              <w:rPr>
                <w:sz w:val="26"/>
                <w:lang w:val="uk-UA"/>
              </w:rPr>
              <w:t>»</w:t>
            </w:r>
          </w:p>
        </w:tc>
      </w:tr>
      <w:tr w:rsidR="002D5A55" w14:paraId="1046A596" w14:textId="77777777" w:rsidTr="002D5A55">
        <w:trPr>
          <w:trHeight w:val="369"/>
        </w:trPr>
        <w:tc>
          <w:tcPr>
            <w:tcW w:w="4117" w:type="dxa"/>
          </w:tcPr>
          <w:p w14:paraId="1FF8C7B2" w14:textId="77777777" w:rsidR="002D5A55" w:rsidRDefault="002D5A55" w:rsidP="002D5A5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занять</w:t>
            </w:r>
            <w:proofErr w:type="spellEnd"/>
          </w:p>
        </w:tc>
        <w:tc>
          <w:tcPr>
            <w:tcW w:w="5632" w:type="dxa"/>
          </w:tcPr>
          <w:p w14:paraId="2611B482" w14:textId="77777777" w:rsidR="002D5A55" w:rsidRPr="002670F2" w:rsidRDefault="002D5A55" w:rsidP="002D5A55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Очна/дистанційна</w:t>
            </w:r>
          </w:p>
        </w:tc>
      </w:tr>
      <w:tr w:rsidR="002D5A55" w14:paraId="63A5AC36" w14:textId="77777777" w:rsidTr="002D5A55">
        <w:trPr>
          <w:trHeight w:val="371"/>
        </w:trPr>
        <w:tc>
          <w:tcPr>
            <w:tcW w:w="4117" w:type="dxa"/>
          </w:tcPr>
          <w:p w14:paraId="014B347A" w14:textId="77777777" w:rsidR="002D5A55" w:rsidRDefault="002D5A55" w:rsidP="002D5A5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семестрового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контролю</w:t>
            </w:r>
            <w:proofErr w:type="spellEnd"/>
            <w:r>
              <w:rPr>
                <w:sz w:val="28"/>
              </w:rPr>
              <w:t>*</w:t>
            </w:r>
          </w:p>
        </w:tc>
        <w:tc>
          <w:tcPr>
            <w:tcW w:w="5632" w:type="dxa"/>
          </w:tcPr>
          <w:p w14:paraId="3D28DCA6" w14:textId="2377F346" w:rsidR="002D5A55" w:rsidRPr="002670F2" w:rsidRDefault="002D5A55" w:rsidP="002D5A55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Залік</w:t>
            </w:r>
          </w:p>
        </w:tc>
      </w:tr>
    </w:tbl>
    <w:p w14:paraId="1A5FFA1D" w14:textId="2DE2B948" w:rsidR="002D5A55" w:rsidRDefault="002D5A55"/>
    <w:p w14:paraId="6DEACCEE" w14:textId="63C4B521" w:rsidR="002D5A55" w:rsidRDefault="002D5A55"/>
    <w:p w14:paraId="0C6597C5" w14:textId="307C1FCF" w:rsidR="002D5A55" w:rsidRDefault="002D5A55"/>
    <w:p w14:paraId="147C8182" w14:textId="31450EBA" w:rsidR="002D5A55" w:rsidRPr="002336E2" w:rsidRDefault="002D5A55" w:rsidP="002336E2">
      <w:pPr>
        <w:pStyle w:val="a3"/>
        <w:ind w:left="258"/>
        <w:jc w:val="both"/>
        <w:rPr>
          <w:b/>
          <w:bCs/>
        </w:rPr>
      </w:pPr>
      <w:r w:rsidRPr="00351E40">
        <w:rPr>
          <w:b/>
          <w:bCs/>
        </w:rPr>
        <w:t>Ключові результати навчання (знання, уміння та інші компетентності):</w:t>
      </w:r>
      <w:r w:rsidR="002336E2">
        <w:rPr>
          <w:b/>
          <w:bCs/>
        </w:rPr>
        <w:t xml:space="preserve"> </w:t>
      </w:r>
      <w:r w:rsidRPr="002336E2">
        <w:rPr>
          <w:lang w:eastAsia="ru-RU"/>
        </w:rPr>
        <w:t>здатність брати участь у розробці нормативно-правових актів</w:t>
      </w:r>
      <w:r w:rsidR="002336E2">
        <w:rPr>
          <w:lang w:eastAsia="ru-RU"/>
        </w:rPr>
        <w:t xml:space="preserve">; </w:t>
      </w:r>
      <w:r w:rsidRPr="002336E2">
        <w:rPr>
          <w:lang w:eastAsia="ru-RU"/>
        </w:rPr>
        <w:t>уміння діяти на основі розвинутої правосвідомості, правового мислення і правової культури</w:t>
      </w:r>
      <w:r w:rsidR="002336E2">
        <w:rPr>
          <w:lang w:eastAsia="ru-RU"/>
        </w:rPr>
        <w:t xml:space="preserve">; </w:t>
      </w:r>
      <w:r w:rsidRPr="002336E2">
        <w:rPr>
          <w:lang w:eastAsia="ru-RU"/>
        </w:rPr>
        <w:t xml:space="preserve">здатність забезпечувати дотримання законодавства суб’єктами права; </w:t>
      </w:r>
      <w:r w:rsidR="002336E2" w:rsidRPr="002336E2">
        <w:rPr>
          <w:lang w:eastAsia="ru-RU"/>
        </w:rPr>
        <w:t>з</w:t>
      </w:r>
      <w:r w:rsidRPr="002336E2">
        <w:rPr>
          <w:lang w:eastAsia="ru-RU"/>
        </w:rPr>
        <w:t>датність здійснювати професійну діяльність у повній відповідності до закону</w:t>
      </w:r>
      <w:r w:rsidR="002336E2">
        <w:rPr>
          <w:lang w:eastAsia="ru-RU"/>
        </w:rPr>
        <w:t xml:space="preserve">; </w:t>
      </w:r>
      <w:r w:rsidRPr="002336E2">
        <w:rPr>
          <w:lang w:eastAsia="ru-RU"/>
        </w:rPr>
        <w:t>розуміння необхідності поваги до честі та гідності особи, захисту прав і свобод людини і громадянина</w:t>
      </w:r>
      <w:r w:rsidR="002336E2">
        <w:rPr>
          <w:lang w:eastAsia="ru-RU"/>
        </w:rPr>
        <w:t xml:space="preserve">; </w:t>
      </w:r>
      <w:r w:rsidRPr="002336E2">
        <w:rPr>
          <w:lang w:eastAsia="ru-RU"/>
        </w:rPr>
        <w:t>вміння виявляти та усувати причини й умови, що сприяють вчиненню правопорушень</w:t>
      </w:r>
      <w:r w:rsidRPr="00A063E7">
        <w:rPr>
          <w:lang w:eastAsia="ru-RU"/>
        </w:rPr>
        <w:t>.</w:t>
      </w:r>
      <w:bookmarkStart w:id="0" w:name="_GoBack"/>
      <w:bookmarkEnd w:id="0"/>
    </w:p>
    <w:p w14:paraId="47A9A1EF" w14:textId="77777777" w:rsidR="002D5A55" w:rsidRDefault="002D5A55" w:rsidP="00A063E7">
      <w:pPr>
        <w:pStyle w:val="a3"/>
        <w:spacing w:before="89"/>
        <w:rPr>
          <w:b/>
          <w:bCs/>
        </w:rPr>
      </w:pPr>
    </w:p>
    <w:p w14:paraId="2943EEEF" w14:textId="0B3AB733" w:rsidR="00A063E7" w:rsidRPr="002336E2" w:rsidRDefault="002D5A55" w:rsidP="002336E2">
      <w:pPr>
        <w:pStyle w:val="a3"/>
        <w:spacing w:before="89"/>
        <w:ind w:left="258"/>
        <w:jc w:val="both"/>
        <w:rPr>
          <w:b/>
          <w:bCs/>
        </w:rPr>
      </w:pPr>
      <w:r w:rsidRPr="00351E40">
        <w:rPr>
          <w:b/>
          <w:bCs/>
        </w:rPr>
        <w:t>Короткий зміст дисципліни (що буде вивчатися, перелік тем):</w:t>
      </w:r>
      <w:r w:rsidR="002336E2">
        <w:rPr>
          <w:b/>
          <w:bCs/>
        </w:rPr>
        <w:t xml:space="preserve"> </w:t>
      </w:r>
      <w:r w:rsidR="00A063E7" w:rsidRPr="00A063E7">
        <w:t>Загальна характеристика Конвенції про захист прав людини і основоположних свобод</w:t>
      </w:r>
      <w:r w:rsidR="00A063E7">
        <w:t>;</w:t>
      </w:r>
      <w:r w:rsidR="002336E2">
        <w:rPr>
          <w:b/>
          <w:bCs/>
        </w:rPr>
        <w:t xml:space="preserve"> </w:t>
      </w:r>
      <w:r w:rsidR="00A063E7" w:rsidRPr="00A063E7">
        <w:t>ЄСПЛ: порядок формування, структура та юрисдикція</w:t>
      </w:r>
      <w:r w:rsidR="00A063E7">
        <w:t>;</w:t>
      </w:r>
      <w:r w:rsidR="002336E2">
        <w:rPr>
          <w:b/>
          <w:bCs/>
        </w:rPr>
        <w:t xml:space="preserve"> </w:t>
      </w:r>
      <w:r w:rsidR="00A063E7" w:rsidRPr="00A063E7">
        <w:t>Процедура розгляду справ ЄСПЛ та порядок виконання його рішень</w:t>
      </w:r>
      <w:r w:rsidR="00A063E7">
        <w:t>;</w:t>
      </w:r>
      <w:r w:rsidR="002336E2">
        <w:rPr>
          <w:b/>
          <w:bCs/>
        </w:rPr>
        <w:t xml:space="preserve"> </w:t>
      </w:r>
      <w:r w:rsidR="00A063E7" w:rsidRPr="00A063E7">
        <w:t>Особливості тлумачення норм Європейської Конвенції</w:t>
      </w:r>
      <w:r w:rsidR="00A063E7">
        <w:t>;</w:t>
      </w:r>
      <w:r w:rsidR="002336E2">
        <w:t xml:space="preserve"> </w:t>
      </w:r>
      <w:r w:rsidR="00A063E7" w:rsidRPr="00A063E7">
        <w:t>Роль прецеденту в діяльності Європейського суду з прав людини</w:t>
      </w:r>
      <w:r w:rsidR="00A063E7">
        <w:t>;</w:t>
      </w:r>
      <w:r w:rsidR="002336E2">
        <w:rPr>
          <w:b/>
          <w:bCs/>
        </w:rPr>
        <w:t xml:space="preserve"> </w:t>
      </w:r>
      <w:r w:rsidR="002336E2" w:rsidRPr="002336E2">
        <w:t>Основні</w:t>
      </w:r>
      <w:r w:rsidR="002336E2">
        <w:rPr>
          <w:b/>
          <w:bCs/>
        </w:rPr>
        <w:t xml:space="preserve"> </w:t>
      </w:r>
      <w:r w:rsidR="00A063E7" w:rsidRPr="00A063E7">
        <w:t>концепції, що визначають зміст «права на справедливий  суд» у статті 6 Конвенції про захист прав людини та основоположних свобод</w:t>
      </w:r>
      <w:r w:rsidR="00A063E7">
        <w:t>;</w:t>
      </w:r>
      <w:r w:rsidR="002336E2">
        <w:rPr>
          <w:b/>
          <w:bCs/>
        </w:rPr>
        <w:t xml:space="preserve"> </w:t>
      </w:r>
      <w:r w:rsidR="00A063E7" w:rsidRPr="00A063E7">
        <w:t>Особливості статті 8 Конвенції про захист прав людини та основоположних  «право на повагу до приватного і сімейного життя»</w:t>
      </w:r>
      <w:r w:rsidR="00A063E7">
        <w:t>;</w:t>
      </w:r>
      <w:r w:rsidR="002336E2">
        <w:rPr>
          <w:b/>
          <w:bCs/>
        </w:rPr>
        <w:t xml:space="preserve"> </w:t>
      </w:r>
      <w:r w:rsidR="002336E2" w:rsidRPr="002336E2">
        <w:t>З</w:t>
      </w:r>
      <w:r w:rsidR="00A063E7" w:rsidRPr="00A063E7">
        <w:t>астосування положень статті 3 Конвенції про захист прав людини і основоположних свобод</w:t>
      </w:r>
      <w:r w:rsidR="00A063E7">
        <w:t>;</w:t>
      </w:r>
      <w:r w:rsidR="002336E2">
        <w:rPr>
          <w:b/>
          <w:bCs/>
        </w:rPr>
        <w:t xml:space="preserve"> </w:t>
      </w:r>
      <w:r w:rsidR="00A063E7" w:rsidRPr="00A063E7">
        <w:t>Застосування положень статті 5 Конвенції про захист прав людини і основоположних свобод «право на свободу та особисту недоторканість»</w:t>
      </w:r>
      <w:r w:rsidR="00A063E7">
        <w:t>;</w:t>
      </w:r>
      <w:r w:rsidR="002336E2">
        <w:rPr>
          <w:b/>
          <w:bCs/>
        </w:rPr>
        <w:t xml:space="preserve"> </w:t>
      </w:r>
      <w:r w:rsidR="00A063E7" w:rsidRPr="00A063E7">
        <w:t>Концепція приватного життя в мережі Інтернет: прецедентне право ЄСПЛ</w:t>
      </w:r>
      <w:r w:rsidR="00A063E7">
        <w:t>;</w:t>
      </w:r>
      <w:r w:rsidR="002336E2">
        <w:rPr>
          <w:b/>
          <w:bCs/>
        </w:rPr>
        <w:t xml:space="preserve"> </w:t>
      </w:r>
      <w:r w:rsidR="00A063E7" w:rsidRPr="00A063E7">
        <w:t>Захист прав дітей: практика ЄСПЛ</w:t>
      </w:r>
      <w:r w:rsidR="00A063E7">
        <w:t>;</w:t>
      </w:r>
      <w:r w:rsidR="002336E2">
        <w:rPr>
          <w:b/>
          <w:bCs/>
        </w:rPr>
        <w:t xml:space="preserve"> </w:t>
      </w:r>
      <w:r w:rsidR="00A063E7" w:rsidRPr="00A063E7">
        <w:t>Правила заповнення формуляру заяви до ЄС</w:t>
      </w:r>
      <w:r w:rsidR="00A063E7" w:rsidRPr="00A063E7">
        <w:rPr>
          <w:sz w:val="27"/>
        </w:rPr>
        <w:t>ПЛ.</w:t>
      </w:r>
    </w:p>
    <w:sectPr w:rsidR="00A063E7" w:rsidRPr="002336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82"/>
    <w:rsid w:val="000A1382"/>
    <w:rsid w:val="002336E2"/>
    <w:rsid w:val="002D5A55"/>
    <w:rsid w:val="00920DCB"/>
    <w:rsid w:val="00A063E7"/>
    <w:rsid w:val="00CA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739B"/>
  <w15:chartTrackingRefBased/>
  <w15:docId w15:val="{E190E03C-E098-43B2-B0C2-D600E6E5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A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5A55"/>
    <w:pPr>
      <w:ind w:left="107"/>
    </w:pPr>
  </w:style>
  <w:style w:type="paragraph" w:styleId="a3">
    <w:name w:val="Body Text"/>
    <w:basedOn w:val="a"/>
    <w:link w:val="a4"/>
    <w:uiPriority w:val="1"/>
    <w:qFormat/>
    <w:rsid w:val="002D5A55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2D5A5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1374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4</cp:revision>
  <dcterms:created xsi:type="dcterms:W3CDTF">2020-12-10T13:02:00Z</dcterms:created>
  <dcterms:modified xsi:type="dcterms:W3CDTF">2021-12-30T14:38:00Z</dcterms:modified>
</cp:coreProperties>
</file>