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2"/>
      </w:tblGrid>
      <w:tr w:rsidR="00DB4971" w14:paraId="79A5EB56" w14:textId="77777777" w:rsidTr="001D13D3">
        <w:trPr>
          <w:trHeight w:val="369"/>
        </w:trPr>
        <w:tc>
          <w:tcPr>
            <w:tcW w:w="4117" w:type="dxa"/>
          </w:tcPr>
          <w:p w14:paraId="37041391" w14:textId="77777777" w:rsidR="00DB4971" w:rsidRPr="00DB4971" w:rsidRDefault="00DB4971" w:rsidP="001D13D3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bookmarkStart w:id="0" w:name="_Hlk58507004"/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bookmarkStart w:id="1" w:name="_GoBack"/>
            <w:bookmarkEnd w:id="1"/>
            <w:proofErr w:type="spellEnd"/>
          </w:p>
        </w:tc>
        <w:tc>
          <w:tcPr>
            <w:tcW w:w="5632" w:type="dxa"/>
          </w:tcPr>
          <w:p w14:paraId="326F79F1" w14:textId="395B95A9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Виборче </w:t>
            </w:r>
            <w:proofErr w:type="spellStart"/>
            <w:r>
              <w:rPr>
                <w:sz w:val="26"/>
                <w:lang w:val="uk-UA"/>
              </w:rPr>
              <w:t>референдумне</w:t>
            </w:r>
            <w:proofErr w:type="spellEnd"/>
            <w:r>
              <w:rPr>
                <w:sz w:val="26"/>
                <w:lang w:val="uk-UA"/>
              </w:rPr>
              <w:t xml:space="preserve"> право</w:t>
            </w:r>
          </w:p>
        </w:tc>
      </w:tr>
      <w:tr w:rsidR="00DB4971" w14:paraId="2F5896CA" w14:textId="77777777" w:rsidTr="001D13D3">
        <w:trPr>
          <w:trHeight w:val="371"/>
        </w:trPr>
        <w:tc>
          <w:tcPr>
            <w:tcW w:w="4117" w:type="dxa"/>
          </w:tcPr>
          <w:p w14:paraId="6D424BCF" w14:textId="77777777" w:rsidR="00DB4971" w:rsidRDefault="00DB4971" w:rsidP="001D13D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2" w:type="dxa"/>
          </w:tcPr>
          <w:p w14:paraId="236330EC" w14:textId="77777777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Бакалавр</w:t>
            </w:r>
          </w:p>
        </w:tc>
      </w:tr>
      <w:tr w:rsidR="00DB4971" w14:paraId="25362C21" w14:textId="77777777" w:rsidTr="001D13D3">
        <w:trPr>
          <w:trHeight w:val="369"/>
        </w:trPr>
        <w:tc>
          <w:tcPr>
            <w:tcW w:w="4117" w:type="dxa"/>
          </w:tcPr>
          <w:p w14:paraId="749DA10A" w14:textId="77777777" w:rsidR="00DB4971" w:rsidRDefault="00DB4971" w:rsidP="001D13D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2" w:type="dxa"/>
          </w:tcPr>
          <w:p w14:paraId="5E37FEC8" w14:textId="77777777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4 </w:t>
            </w:r>
          </w:p>
        </w:tc>
      </w:tr>
      <w:tr w:rsidR="00DB4971" w14:paraId="58260334" w14:textId="77777777" w:rsidTr="001D13D3">
        <w:trPr>
          <w:trHeight w:val="371"/>
        </w:trPr>
        <w:tc>
          <w:tcPr>
            <w:tcW w:w="4117" w:type="dxa"/>
          </w:tcPr>
          <w:p w14:paraId="2A47AFED" w14:textId="77777777" w:rsidR="00DB4971" w:rsidRDefault="00DB4971" w:rsidP="001D13D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2" w:type="dxa"/>
          </w:tcPr>
          <w:p w14:paraId="1B34EAF2" w14:textId="700A4DD1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8</w:t>
            </w:r>
          </w:p>
        </w:tc>
      </w:tr>
      <w:tr w:rsidR="00DB4971" w14:paraId="273A451E" w14:textId="77777777" w:rsidTr="001D13D3">
        <w:trPr>
          <w:trHeight w:val="369"/>
        </w:trPr>
        <w:tc>
          <w:tcPr>
            <w:tcW w:w="4117" w:type="dxa"/>
          </w:tcPr>
          <w:p w14:paraId="4555D20F" w14:textId="77777777" w:rsidR="00DB4971" w:rsidRDefault="00DB4971" w:rsidP="001D13D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08686012" w14:textId="116CE396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</w:tr>
      <w:tr w:rsidR="00DB4971" w14:paraId="5EBBF73F" w14:textId="77777777" w:rsidTr="001D13D3">
        <w:trPr>
          <w:trHeight w:val="369"/>
        </w:trPr>
        <w:tc>
          <w:tcPr>
            <w:tcW w:w="4117" w:type="dxa"/>
          </w:tcPr>
          <w:p w14:paraId="017A5AAE" w14:textId="77777777" w:rsidR="00DB4971" w:rsidRDefault="00DB4971" w:rsidP="001D13D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2" w:type="dxa"/>
          </w:tcPr>
          <w:p w14:paraId="4DF58353" w14:textId="77777777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Українська</w:t>
            </w:r>
          </w:p>
        </w:tc>
      </w:tr>
      <w:tr w:rsidR="00DB4971" w14:paraId="71FF5167" w14:textId="77777777" w:rsidTr="001D13D3">
        <w:trPr>
          <w:trHeight w:val="645"/>
        </w:trPr>
        <w:tc>
          <w:tcPr>
            <w:tcW w:w="4117" w:type="dxa"/>
          </w:tcPr>
          <w:p w14:paraId="6C0906FF" w14:textId="77777777" w:rsidR="00DB4971" w:rsidRDefault="00DB4971" w:rsidP="001D13D3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</w:p>
          <w:p w14:paraId="315E600B" w14:textId="77777777" w:rsidR="00DB4971" w:rsidRDefault="00DB4971" w:rsidP="001D13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uk-UA"/>
              </w:rPr>
              <w:t>д</w:t>
            </w:r>
            <w:proofErr w:type="spellStart"/>
            <w:r>
              <w:rPr>
                <w:sz w:val="28"/>
              </w:rPr>
              <w:t>исципліни</w:t>
            </w:r>
            <w:proofErr w:type="spellEnd"/>
          </w:p>
        </w:tc>
        <w:tc>
          <w:tcPr>
            <w:tcW w:w="5632" w:type="dxa"/>
          </w:tcPr>
          <w:p w14:paraId="2735DB8D" w14:textId="69711C69" w:rsidR="00DB4971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10 – конституційне право України</w:t>
            </w:r>
          </w:p>
          <w:p w14:paraId="583488B6" w14:textId="77777777" w:rsidR="00DB4971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24 – конституційне право зарубіжних країн</w:t>
            </w:r>
          </w:p>
          <w:p w14:paraId="726D9BCF" w14:textId="77777777" w:rsidR="00DB4971" w:rsidRPr="006A591B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27 – міжнародне право</w:t>
            </w:r>
          </w:p>
        </w:tc>
      </w:tr>
      <w:tr w:rsidR="00DB4971" w14:paraId="3D919AFE" w14:textId="77777777" w:rsidTr="001D13D3">
        <w:trPr>
          <w:trHeight w:val="642"/>
        </w:trPr>
        <w:tc>
          <w:tcPr>
            <w:tcW w:w="4117" w:type="dxa"/>
          </w:tcPr>
          <w:p w14:paraId="6AE2CA56" w14:textId="77777777" w:rsidR="00DB4971" w:rsidRPr="00450CD5" w:rsidRDefault="00DB4971" w:rsidP="001D13D3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450CD5">
              <w:rPr>
                <w:sz w:val="28"/>
                <w:lang w:val="ru-RU"/>
              </w:rPr>
              <w:t xml:space="preserve">Кафедра, яка </w:t>
            </w:r>
            <w:proofErr w:type="spellStart"/>
            <w:r w:rsidRPr="00450CD5">
              <w:rPr>
                <w:sz w:val="28"/>
                <w:lang w:val="ru-RU"/>
              </w:rPr>
              <w:t>забезпечує</w:t>
            </w:r>
            <w:proofErr w:type="spellEnd"/>
          </w:p>
          <w:p w14:paraId="19793111" w14:textId="77777777" w:rsidR="00DB4971" w:rsidRPr="00450CD5" w:rsidRDefault="00DB4971" w:rsidP="001D13D3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 w:rsidRPr="00450CD5">
              <w:rPr>
                <w:sz w:val="28"/>
                <w:lang w:val="ru-RU"/>
              </w:rPr>
              <w:t>викладання</w:t>
            </w:r>
            <w:proofErr w:type="spellEnd"/>
            <w:r w:rsidRPr="00450CD5">
              <w:rPr>
                <w:sz w:val="28"/>
                <w:lang w:val="ru-RU"/>
              </w:rPr>
              <w:t xml:space="preserve"> </w:t>
            </w:r>
            <w:proofErr w:type="spellStart"/>
            <w:r w:rsidRPr="00450CD5">
              <w:rPr>
                <w:sz w:val="28"/>
                <w:lang w:val="ru-RU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595C1B56" w14:textId="77777777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Конституційного права та порівняльного правознавства</w:t>
            </w:r>
          </w:p>
        </w:tc>
      </w:tr>
      <w:tr w:rsidR="00DB4971" w14:paraId="4116B85C" w14:textId="77777777" w:rsidTr="001D13D3">
        <w:trPr>
          <w:trHeight w:val="371"/>
        </w:trPr>
        <w:tc>
          <w:tcPr>
            <w:tcW w:w="4117" w:type="dxa"/>
          </w:tcPr>
          <w:p w14:paraId="15F3D991" w14:textId="77777777" w:rsidR="00DB4971" w:rsidRDefault="00DB4971" w:rsidP="001D13D3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2" w:type="dxa"/>
          </w:tcPr>
          <w:p w14:paraId="46EE5A9B" w14:textId="77777777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Освітня платформа «</w:t>
            </w:r>
            <w:r>
              <w:rPr>
                <w:sz w:val="26"/>
              </w:rPr>
              <w:t>Moodle</w:t>
            </w:r>
            <w:r>
              <w:rPr>
                <w:sz w:val="26"/>
                <w:lang w:val="uk-UA"/>
              </w:rPr>
              <w:t>» та «</w:t>
            </w:r>
            <w:r>
              <w:rPr>
                <w:sz w:val="26"/>
              </w:rPr>
              <w:t>Google Meet</w:t>
            </w:r>
            <w:r>
              <w:rPr>
                <w:sz w:val="26"/>
                <w:lang w:val="uk-UA"/>
              </w:rPr>
              <w:t>»</w:t>
            </w:r>
          </w:p>
        </w:tc>
      </w:tr>
      <w:tr w:rsidR="00DB4971" w14:paraId="20E52509" w14:textId="77777777" w:rsidTr="001D13D3">
        <w:trPr>
          <w:trHeight w:val="369"/>
        </w:trPr>
        <w:tc>
          <w:tcPr>
            <w:tcW w:w="4117" w:type="dxa"/>
          </w:tcPr>
          <w:p w14:paraId="1FAB8946" w14:textId="77777777" w:rsidR="00DB4971" w:rsidRDefault="00DB4971" w:rsidP="001D13D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2" w:type="dxa"/>
          </w:tcPr>
          <w:p w14:paraId="12BE12D5" w14:textId="77777777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Очна/дистанційна</w:t>
            </w:r>
          </w:p>
        </w:tc>
      </w:tr>
      <w:tr w:rsidR="00DB4971" w14:paraId="4ADF2589" w14:textId="77777777" w:rsidTr="001D13D3">
        <w:trPr>
          <w:trHeight w:val="371"/>
        </w:trPr>
        <w:tc>
          <w:tcPr>
            <w:tcW w:w="4117" w:type="dxa"/>
          </w:tcPr>
          <w:p w14:paraId="11CA91D4" w14:textId="77777777" w:rsidR="00DB4971" w:rsidRDefault="00DB4971" w:rsidP="001D13D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семестрового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контролю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23493767" w14:textId="0964B3CD" w:rsidR="00DB4971" w:rsidRPr="002670F2" w:rsidRDefault="00DB4971" w:rsidP="001D13D3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Залік</w:t>
            </w:r>
          </w:p>
        </w:tc>
      </w:tr>
      <w:bookmarkEnd w:id="0"/>
    </w:tbl>
    <w:p w14:paraId="4266AC15" w14:textId="1C405ECA" w:rsidR="004276E3" w:rsidRDefault="00450CD5"/>
    <w:p w14:paraId="6C8132DD" w14:textId="04BD3BE9" w:rsidR="00DB4971" w:rsidRDefault="00DB4971"/>
    <w:p w14:paraId="6487DC24" w14:textId="11675932" w:rsidR="00DB4971" w:rsidRDefault="00DB4971" w:rsidP="00450CD5">
      <w:pPr>
        <w:pStyle w:val="a3"/>
        <w:spacing w:line="360" w:lineRule="auto"/>
        <w:ind w:left="258"/>
        <w:jc w:val="both"/>
        <w:rPr>
          <w:b/>
          <w:bCs/>
        </w:rPr>
      </w:pPr>
      <w:r w:rsidRPr="00351E40">
        <w:rPr>
          <w:b/>
          <w:bCs/>
        </w:rPr>
        <w:t>Ключові результати навчання (знання, уміння та інші компетентності):</w:t>
      </w:r>
      <w:r w:rsidR="00450CD5">
        <w:rPr>
          <w:b/>
          <w:bCs/>
        </w:rPr>
        <w:t xml:space="preserve">  </w:t>
      </w:r>
      <w:r w:rsidRPr="00171927">
        <w:t>знання національних та міжнародних стандартів правничої професії</w:t>
      </w:r>
      <w:r w:rsidR="00450CD5">
        <w:t xml:space="preserve">; </w:t>
      </w:r>
      <w:r w:rsidRPr="00171927">
        <w:t>знання міжнародних стандартів прав людини, доктрини та принципу верховенства права; знання основ теорії права, структури правничої професії та її ролі у суспільстві;</w:t>
      </w:r>
      <w:r w:rsidR="00450CD5">
        <w:t xml:space="preserve"> </w:t>
      </w:r>
      <w:r w:rsidRPr="00171927">
        <w:t>навички реалізації та застосування норм матеріального і процесуального права;</w:t>
      </w:r>
      <w:r w:rsidR="00450CD5">
        <w:t xml:space="preserve"> </w:t>
      </w:r>
      <w:r w:rsidRPr="00171927">
        <w:t>здатність аналізувати правові проблеми та формувати правові позиції;</w:t>
      </w:r>
      <w:r w:rsidR="00450CD5">
        <w:t xml:space="preserve"> </w:t>
      </w:r>
      <w:r w:rsidRPr="00171927">
        <w:t xml:space="preserve">уміння застосувати знання у практичній діяльності при моделюванні правових ситуацій; здатність проводити юридичну експертизу нормативно-правових актів; здатність застосовувати юридичну аргументацію та тлумачити правові норми; навички самостійної підготовки проектів актів правозастосування;  </w:t>
      </w:r>
    </w:p>
    <w:p w14:paraId="0BFF7E4E" w14:textId="78272946" w:rsidR="00DB4971" w:rsidRPr="00450CD5" w:rsidRDefault="00DB4971" w:rsidP="00450CD5">
      <w:pPr>
        <w:pStyle w:val="a3"/>
        <w:spacing w:before="89" w:line="360" w:lineRule="auto"/>
        <w:ind w:left="258"/>
        <w:jc w:val="both"/>
        <w:rPr>
          <w:b/>
          <w:bCs/>
        </w:rPr>
      </w:pPr>
      <w:r w:rsidRPr="00351E40">
        <w:rPr>
          <w:b/>
          <w:bCs/>
        </w:rPr>
        <w:t>Короткий зміст дисципліни (що буде вивчатися, перелік тем)</w:t>
      </w:r>
      <w:r w:rsidR="00450CD5">
        <w:rPr>
          <w:b/>
          <w:bCs/>
        </w:rPr>
        <w:t xml:space="preserve">: </w:t>
      </w:r>
      <w:r>
        <w:t xml:space="preserve">Виборче </w:t>
      </w:r>
      <w:proofErr w:type="spellStart"/>
      <w:r>
        <w:t>референдумне</w:t>
      </w:r>
      <w:proofErr w:type="spellEnd"/>
      <w:r>
        <w:t xml:space="preserve"> право як навчальна дисципліна</w:t>
      </w:r>
      <w:r w:rsidR="00450CD5">
        <w:t xml:space="preserve">; </w:t>
      </w:r>
      <w:r>
        <w:t xml:space="preserve">Джерела виборчого </w:t>
      </w:r>
      <w:proofErr w:type="spellStart"/>
      <w:r>
        <w:t>референдумного</w:t>
      </w:r>
      <w:proofErr w:type="spellEnd"/>
      <w:r>
        <w:t xml:space="preserve"> права України;</w:t>
      </w:r>
      <w:r w:rsidR="00450CD5">
        <w:rPr>
          <w:b/>
          <w:bCs/>
        </w:rPr>
        <w:t xml:space="preserve"> </w:t>
      </w:r>
      <w:r>
        <w:t>Організація виборчого процесу;</w:t>
      </w:r>
      <w:r w:rsidR="00450CD5">
        <w:rPr>
          <w:b/>
          <w:bCs/>
        </w:rPr>
        <w:t xml:space="preserve"> </w:t>
      </w:r>
      <w:r>
        <w:t>Мажоритарні виборчі системи;</w:t>
      </w:r>
      <w:r w:rsidR="00450CD5">
        <w:rPr>
          <w:b/>
          <w:bCs/>
        </w:rPr>
        <w:t xml:space="preserve"> </w:t>
      </w:r>
      <w:r>
        <w:t>Пропорційні виборчі системи;</w:t>
      </w:r>
      <w:r w:rsidR="00450CD5">
        <w:rPr>
          <w:b/>
          <w:bCs/>
        </w:rPr>
        <w:t xml:space="preserve"> </w:t>
      </w:r>
      <w:r>
        <w:t>Змішані виборчі системи;</w:t>
      </w:r>
      <w:r w:rsidR="00450CD5">
        <w:rPr>
          <w:b/>
          <w:bCs/>
        </w:rPr>
        <w:t xml:space="preserve"> </w:t>
      </w:r>
      <w:r>
        <w:t>Конституційно-правові засади проведення виборів в Україні;</w:t>
      </w:r>
      <w:r w:rsidR="00450CD5">
        <w:rPr>
          <w:b/>
          <w:bCs/>
        </w:rPr>
        <w:t xml:space="preserve"> </w:t>
      </w:r>
      <w:r>
        <w:t>Референдум як форма безпосереднього народовладдя;</w:t>
      </w:r>
      <w:r w:rsidR="00450CD5">
        <w:rPr>
          <w:b/>
          <w:bCs/>
        </w:rPr>
        <w:t xml:space="preserve"> </w:t>
      </w:r>
      <w:r>
        <w:t>Порядок організації та проведення всеукраїнського та місцевого референдумів.</w:t>
      </w:r>
    </w:p>
    <w:p w14:paraId="6AB00DB8" w14:textId="77777777" w:rsidR="00DB4971" w:rsidRDefault="00DB4971"/>
    <w:sectPr w:rsidR="00DB4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22"/>
    <w:rsid w:val="00450CD5"/>
    <w:rsid w:val="00920DCB"/>
    <w:rsid w:val="00CA772A"/>
    <w:rsid w:val="00DB4971"/>
    <w:rsid w:val="00E3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049B"/>
  <w15:chartTrackingRefBased/>
  <w15:docId w15:val="{0D9E02D8-1C11-4719-829C-71917C6F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9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4971"/>
    <w:pPr>
      <w:ind w:left="107"/>
    </w:pPr>
  </w:style>
  <w:style w:type="paragraph" w:styleId="a3">
    <w:name w:val="Body Text"/>
    <w:basedOn w:val="a"/>
    <w:link w:val="a4"/>
    <w:uiPriority w:val="1"/>
    <w:qFormat/>
    <w:rsid w:val="00DB4971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B4971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DB497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DB497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4</cp:revision>
  <dcterms:created xsi:type="dcterms:W3CDTF">2020-12-12T14:28:00Z</dcterms:created>
  <dcterms:modified xsi:type="dcterms:W3CDTF">2021-12-30T14:35:00Z</dcterms:modified>
</cp:coreProperties>
</file>