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28D" w:rsidRPr="0064428D" w:rsidRDefault="0064428D" w:rsidP="00644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644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ДЕРЖАВНИЙ ВИЩИЙ НАВЧАЛЬНИЙ ЗАКЛАД</w:t>
      </w:r>
    </w:p>
    <w:p w:rsidR="0064428D" w:rsidRPr="0064428D" w:rsidRDefault="0064428D" w:rsidP="00644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«УЖГОРОДСЬКИЙ НАЦІОНАЛЬНИЙ УНІВЕРСИТЕТ»</w:t>
      </w:r>
    </w:p>
    <w:p w:rsidR="0064428D" w:rsidRPr="0064428D" w:rsidRDefault="0064428D" w:rsidP="00644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ЮРИДИЧНИЙ ФАКУЛЬТЕТ</w:t>
      </w:r>
    </w:p>
    <w:p w:rsidR="0064428D" w:rsidRPr="0064428D" w:rsidRDefault="0064428D" w:rsidP="00644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Кафедра цивільного права та процесу</w:t>
      </w:r>
    </w:p>
    <w:p w:rsidR="0064428D" w:rsidRPr="0064428D" w:rsidRDefault="0064428D" w:rsidP="0064428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360" w:lineRule="auto"/>
        <w:ind w:left="4956" w:firstLine="1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8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«ЗАТВЕРДЖУЮ»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Декан юридичного факультету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360" w:lineRule="auto"/>
        <w:ind w:left="2124" w:firstLine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 Лазур Я.В.</w:t>
      </w:r>
    </w:p>
    <w:p w:rsidR="0064428D" w:rsidRPr="0064428D" w:rsidRDefault="0064428D" w:rsidP="0064428D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8"/>
          <w:szCs w:val="28"/>
          <w:lang w:eastAsia="uk-UA"/>
        </w:rPr>
        <w:t>«____» _____________</w:t>
      </w:r>
      <w:r w:rsidRPr="0064428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8"/>
          <w:szCs w:val="28"/>
          <w:lang w:eastAsia="uk-UA"/>
        </w:rPr>
        <w:t>2021 року</w:t>
      </w:r>
    </w:p>
    <w:p w:rsidR="0064428D" w:rsidRPr="0064428D" w:rsidRDefault="0064428D" w:rsidP="006442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4428D" w:rsidRPr="0064428D" w:rsidRDefault="0064428D" w:rsidP="006442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4428D" w:rsidRPr="0064428D" w:rsidRDefault="0064428D" w:rsidP="006442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4428D" w:rsidRPr="0064428D" w:rsidRDefault="0064428D" w:rsidP="0064428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4428D" w:rsidRPr="0064428D" w:rsidRDefault="0064428D" w:rsidP="0064428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РОБОЧА ПРОГРАМА НАВЧАЛЬНОЇ ДИСЦИПЛІНИ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ВИКОНАВЧЕ ПРОВАДЖЕННЯ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tbl>
      <w:tblPr>
        <w:tblW w:w="9572" w:type="dxa"/>
        <w:tblLook w:val="01E0" w:firstRow="1" w:lastRow="1" w:firstColumn="1" w:lastColumn="1" w:noHBand="0" w:noVBand="0"/>
      </w:tblPr>
      <w:tblGrid>
        <w:gridCol w:w="4503"/>
        <w:gridCol w:w="5069"/>
      </w:tblGrid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другий (магістерський) рівень</w:t>
            </w:r>
          </w:p>
        </w:tc>
      </w:tr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Галузь знань</w:t>
            </w:r>
          </w:p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08 Право</w:t>
            </w:r>
          </w:p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081 Право</w:t>
            </w:r>
          </w:p>
        </w:tc>
      </w:tr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Предметна спеціалізація)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2.1 Цивільно та господарсько-правова</w:t>
            </w:r>
          </w:p>
        </w:tc>
      </w:tr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Освітня програма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</w:t>
            </w:r>
          </w:p>
        </w:tc>
      </w:tr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Статус дисципліни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вибіркова</w:t>
            </w:r>
          </w:p>
        </w:tc>
      </w:tr>
      <w:tr w:rsidR="0064428D" w:rsidRPr="0064428D" w:rsidTr="00E76E63">
        <w:tc>
          <w:tcPr>
            <w:tcW w:w="4503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Мова навчання</w:t>
            </w:r>
          </w:p>
        </w:tc>
        <w:tc>
          <w:tcPr>
            <w:tcW w:w="506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українська</w:t>
            </w:r>
          </w:p>
        </w:tc>
      </w:tr>
    </w:tbl>
    <w:p w:rsidR="0064428D" w:rsidRPr="0064428D" w:rsidRDefault="0064428D" w:rsidP="0064428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Ужгород – 2021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Робоча програма навчальної дисципліни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Майнові права»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здобувачів вищої освіти галузі знань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08 Право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спеціальності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081 Право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предметної спеціалізації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2.1 Цивільно та господарсько-правова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освітньої програми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«Право»</w:t>
      </w:r>
    </w:p>
    <w:p w:rsidR="0064428D" w:rsidRPr="0064428D" w:rsidRDefault="0064428D" w:rsidP="006442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Розробник: 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доц. Литвин С.Й.</w:t>
      </w:r>
    </w:p>
    <w:p w:rsidR="0064428D" w:rsidRPr="0064428D" w:rsidRDefault="0064428D" w:rsidP="006442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Робочу програму розглянуто та затверджено на засіданні кафедри </w:t>
      </w:r>
      <w:r w:rsidRPr="00644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цивільного права та процесу.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№ 10 від «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24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червня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2021 року  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Завідувач кафедри    ______________ Булеца С.Б.</w:t>
      </w: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Схвалено науково-методичною комісією юридичного факультету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№ 9 від «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25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червня  2021 року  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Голова науково-методичної комісії ______________ Булеца С.Б.</w:t>
      </w: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D3"/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Кафедра цивільного права та процесу, 2021 р.</w:t>
      </w:r>
    </w:p>
    <w:p w:rsidR="0064428D" w:rsidRPr="0064428D" w:rsidRDefault="0064428D" w:rsidP="0064428D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D3"/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ДВНЗ «Ужгородський національний університет», 2021 р.</w:t>
      </w:r>
      <w:r w:rsidRPr="0064428D">
        <w:rPr>
          <w:rFonts w:ascii="Franklin Gothic Medium Cond" w:eastAsia="Times New Roman" w:hAnsi="Franklin Gothic Medium Cond" w:cs="Franklin Gothic Medium Cond"/>
          <w:sz w:val="8"/>
          <w:szCs w:val="8"/>
          <w:lang w:eastAsia="ru-RU"/>
        </w:rPr>
        <w:br w:type="page"/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1. Опис навчальної дисципліни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64428D" w:rsidRPr="0064428D" w:rsidTr="00E76E63">
        <w:trPr>
          <w:trHeight w:val="725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показників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Розподіл годин за навчальним планом</w:t>
            </w:r>
          </w:p>
        </w:tc>
      </w:tr>
      <w:tr w:rsidR="0064428D" w:rsidRPr="0064428D" w:rsidTr="00E76E63">
        <w:trPr>
          <w:trHeight w:val="770"/>
        </w:trPr>
        <w:tc>
          <w:tcPr>
            <w:tcW w:w="4503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</w:p>
        </w:tc>
      </w:tr>
      <w:tr w:rsidR="0064428D" w:rsidRPr="0064428D" w:rsidTr="00E76E63">
        <w:trPr>
          <w:trHeight w:val="632"/>
        </w:trPr>
        <w:tc>
          <w:tcPr>
            <w:tcW w:w="450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кредитів ЄКТС – 3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 – 90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модулів – 1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Тижневих годин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денної  форми навчання: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аудиторних – 3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,0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самостійної роботи студента –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-й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 (семінарські):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підсумкового контролю: залік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підсумкового контролю:  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тестування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робота:</w:t>
            </w:r>
          </w:p>
        </w:tc>
      </w:tr>
      <w:tr w:rsidR="0064428D" w:rsidRPr="0064428D" w:rsidTr="00E76E63">
        <w:trPr>
          <w:trHeight w:val="567"/>
        </w:trPr>
        <w:tc>
          <w:tcPr>
            <w:tcW w:w="4503" w:type="dxa"/>
            <w:vMerge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 Мета та завдання навчальної дисципліни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4428D" w:rsidRPr="0064428D" w:rsidTr="00E76E63">
        <w:trPr>
          <w:tblCellSpacing w:w="22" w:type="dxa"/>
          <w:jc w:val="center"/>
        </w:trPr>
        <w:tc>
          <w:tcPr>
            <w:tcW w:w="5000" w:type="pct"/>
          </w:tcPr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«Виконавче провадження» як навчальна дисципліна входить до комплексу навчальних дисциплін, які складають фундамент фахової підготовки майбутнього юриста.</w:t>
            </w:r>
          </w:p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Навчальний план по цій дисципліні передбачає, що студенти розуміють сутність основних правових явищ, значення основних правових категорій, володіють в достатній мірі науковими методами пізнання правової дійсності та здатні творчо засвоїти учбовий матеріал по названому курсу.</w:t>
            </w:r>
          </w:p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Метою даної дисципліни є вивчення організації та процесуальної форми здійснення виконавчого провадження. </w:t>
            </w:r>
          </w:p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Завданнями є: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засвоєння студентами поняття та сутності інституту виконавчого провадження, нормативних джерел, що регулюють організацію та діяльність судів з прийняття судових рішень, організацію та діяльність державної виконавчої служби, порядок та процедуру здійснення виконавчого провадження в Україні;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формування у студентів уявлення про правовий статус державної виконавчої служби, її завдання та принципи діяльності;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формування у студентів уявлення про правовий статус державного виконавця, його права, обов'язки, межі відповідальності;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набуття навиків у складанні процесуальних документів на стадії виконавчого провадження;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вивчення загальних засад застосування заходів примусового виконання;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ознайомлення з особливостями звернення стягнення на окремі види майна, в тому числі на доходи фізичної особи, виконання рішень у немайнових справах, виконання рішень з іноземним елементом;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аналіз проблем та перспектив вдосконалення й реформування інституту виконавчого провадження;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формування навичок практичного застосування положень нормативно-правових актів щодо гарантій захисту прав учасників виконавчого провадження;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підвищення правової культури студентів, необхідної для ефективного здійснення майбутньої професійної діяльності.</w:t>
            </w:r>
          </w:p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  <w:t>Інтегральна компетентність:</w:t>
            </w:r>
            <w:r w:rsidRPr="00644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розв’язувати складні спеціалізовані задачі та практичні проблеми у галузі права або у процесі навчання, що передбачає застосування правових доктрин та принципів і характеризується комплексністю та невизначеністю умов.</w:t>
            </w:r>
          </w:p>
          <w:p w:rsidR="0064428D" w:rsidRPr="0064428D" w:rsidRDefault="0064428D" w:rsidP="00644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  <w:t xml:space="preserve">Загальні компетентності: 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0"/>
              </w:numPr>
              <w:tabs>
                <w:tab w:val="left" w:pos="574"/>
              </w:tabs>
              <w:spacing w:after="0" w:line="240" w:lineRule="auto"/>
              <w:ind w:left="643" w:hanging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знання та розуміння предметної галузі, професії; основних концепцій, базових категорій, юридичних понять (ЗК-1);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0"/>
              </w:numPr>
              <w:tabs>
                <w:tab w:val="left" w:pos="574"/>
              </w:tabs>
              <w:spacing w:after="0" w:line="240" w:lineRule="auto"/>
              <w:ind w:left="643" w:hanging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 абстрактного мислення, аналізу та синтезу (ЗК-3)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0"/>
              </w:numPr>
              <w:tabs>
                <w:tab w:val="left" w:pos="574"/>
                <w:tab w:val="left" w:pos="1802"/>
                <w:tab w:val="left" w:pos="3170"/>
              </w:tabs>
              <w:spacing w:after="0" w:line="240" w:lineRule="auto"/>
              <w:ind w:left="643" w:hanging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визначати, формулювати та розв’язувати проблеми, аналізувати соціально-значущі процеси та приймати обґрунтовані рішення (ЗК-7);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1"/>
              </w:numPr>
              <w:tabs>
                <w:tab w:val="left" w:pos="574"/>
              </w:tabs>
              <w:spacing w:after="0" w:line="240" w:lineRule="auto"/>
              <w:ind w:left="926" w:hanging="9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знаходити, обробляти та аналізувати інформацію з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різноманітних джерел; здатність використовувати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інформаційно-комунікативні технології (ЗК-9).</w:t>
            </w:r>
          </w:p>
          <w:p w:rsidR="0064428D" w:rsidRPr="0064428D" w:rsidRDefault="0064428D" w:rsidP="0064428D">
            <w:pPr>
              <w:widowControl w:val="0"/>
              <w:tabs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ab/>
            </w:r>
            <w:r w:rsidRPr="0064428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uk-UA"/>
              </w:rPr>
              <w:t>Фахові компетентності спеціальності: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2"/>
              </w:numPr>
              <w:tabs>
                <w:tab w:val="left" w:pos="583"/>
              </w:tabs>
              <w:spacing w:after="0" w:line="254" w:lineRule="auto"/>
              <w:ind w:left="1209" w:hanging="1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здійснювати професійну діяльність у повній відповідності до закону (ФК-4);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2"/>
              </w:numPr>
              <w:tabs>
                <w:tab w:val="left" w:pos="641"/>
              </w:tabs>
              <w:spacing w:after="0" w:line="254" w:lineRule="auto"/>
              <w:ind w:left="1209" w:hanging="1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 реалізовувати норми матеріального і процесуального права в професійній діяльності, правильно застосовувати нормативно-правові акти (ФК-5);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2"/>
              </w:numPr>
              <w:tabs>
                <w:tab w:val="left" w:pos="583"/>
              </w:tabs>
              <w:spacing w:after="0" w:line="254" w:lineRule="auto"/>
              <w:ind w:left="1209" w:hanging="1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 юридично правильно кваліфікувати факти і обставини (ФК-6);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2"/>
              </w:numPr>
              <w:tabs>
                <w:tab w:val="left" w:pos="583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 (ФК-11);</w:t>
            </w:r>
          </w:p>
          <w:p w:rsidR="0064428D" w:rsidRPr="0064428D" w:rsidRDefault="0064428D" w:rsidP="0064428D">
            <w:pPr>
              <w:widowControl w:val="0"/>
              <w:numPr>
                <w:ilvl w:val="0"/>
                <w:numId w:val="12"/>
              </w:numPr>
              <w:tabs>
                <w:tab w:val="left" w:pos="57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тлумачити нормативно-правові акти, надавати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кваліфіковані юридичні висновки і консультації (ФК-13).</w:t>
            </w:r>
          </w:p>
          <w:p w:rsidR="0064428D" w:rsidRPr="0064428D" w:rsidRDefault="0064428D" w:rsidP="0064428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tabs>
                <w:tab w:val="left" w:pos="455"/>
              </w:tabs>
              <w:spacing w:after="0" w:line="240" w:lineRule="auto"/>
              <w:ind w:left="21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 ПЕРЕДУМОВИ ДЛЯ ВИВЧЕННЯ НАВЧАЛЬНОЇ ДИСЦИПЛІНИ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Передумовами вивчення навчальної дисципліни </w:t>
      </w:r>
      <w:r w:rsidRPr="00644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4428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Виконавче провадження</w:t>
      </w:r>
      <w:r w:rsidRPr="00644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опанування 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навчальних дисциплін (НД) освітньої програми (ОП):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13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Цивільне право (загальна частина)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15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Цивільне право (особлива частина)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 17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Господарське</w:t>
      </w:r>
      <w:proofErr w:type="spellEnd"/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право</w:t>
      </w: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ВБ 2.3.1.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Земельне право</w:t>
      </w: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 ОЧІКУВАНІ РЕЗУЛЬТАТИ НАВЧАННЯ</w:t>
      </w: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освітньої програми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64428D">
        <w:rPr>
          <w:rFonts w:ascii="Times New Roman" w:eastAsia="Arial Unicode MS" w:hAnsi="Times New Roman" w:cs="Times New Roman"/>
          <w:sz w:val="24"/>
          <w:szCs w:val="24"/>
          <w:u w:color="000000"/>
          <w:lang w:eastAsia="uk-UA"/>
        </w:rPr>
        <w:t>Виконавче провадження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»,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5"/>
        <w:gridCol w:w="1553"/>
      </w:tblGrid>
      <w:tr w:rsidR="0064428D" w:rsidRPr="0064428D" w:rsidTr="00E76E63">
        <w:tc>
          <w:tcPr>
            <w:tcW w:w="8364" w:type="dxa"/>
            <w:shd w:val="clear" w:color="auto" w:fill="auto"/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Програмні 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Шифр ПРН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збір, порівняння та аналіз матеріалів з різних джерел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Оцінювати недоліки і переваги аргументів, аналізуючи ситуацію чи проблему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4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Використовувати різноманітні інформаційні джерела для засвоєння складних питань з певної теми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6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Належним чином використовувати ту інформацію, яку отримано з першоджерел та вторинних джерел для своєї професійної діяльності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11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widowControl w:val="0"/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Вміти на базовому рівні здійснювати нормотворчу, правотворчу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правозастосовчу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діяльність, професійний огляд та аналіз судової практики;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18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widowControl w:val="0"/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Застосовувати набуті знання та навички у різних правових ситуаціях, виокремлювати юридично значущі факти і формувати обґрунтовані правові висновки;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19</w:t>
            </w:r>
          </w:p>
        </w:tc>
      </w:tr>
      <w:tr w:rsidR="0064428D" w:rsidRPr="0064428D" w:rsidTr="00E76E63"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Надавати консультації щодо можливих способів захисту прав та інтересів клієнтів у різних правових ситуаціях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20</w:t>
            </w:r>
          </w:p>
        </w:tc>
      </w:tr>
    </w:tbl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«Виконавче провадження»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64428D" w:rsidRPr="0064428D" w:rsidRDefault="0064428D" w:rsidP="00644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5"/>
        <w:gridCol w:w="1553"/>
      </w:tblGrid>
      <w:tr w:rsidR="0064428D" w:rsidRPr="0064428D" w:rsidTr="00E76E63">
        <w:tc>
          <w:tcPr>
            <w:tcW w:w="8364" w:type="dxa"/>
            <w:shd w:val="clear" w:color="auto" w:fill="auto"/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Шифр ПРН</w:t>
            </w:r>
          </w:p>
        </w:tc>
      </w:tr>
      <w:tr w:rsidR="0064428D" w:rsidRPr="0064428D" w:rsidTr="00E76E63">
        <w:trPr>
          <w:trHeight w:val="1975"/>
        </w:trPr>
        <w:tc>
          <w:tcPr>
            <w:tcW w:w="8364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результаті вивчення навчальної дисципліни студент повинен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знати:</w:t>
            </w:r>
            <w:r w:rsidRPr="0064428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uk-UA"/>
              </w:rPr>
              <w:t xml:space="preserve"> 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норми чинного законодавства, які регулюють порядок виконання рішень судів та інших органів (посадових осіб); міжнародно-правові акти у цій сфері;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організаційну структуру органів державної виконавчої служби, правовий статус державного виконавця, сторін та інших учасників виконавчого провадження;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поняття, стадії виконавчого провадження та їх характеристику, порядок вчинення виконавчих дій;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зміст виконавчих документів та процедури їх виконання;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порядок застосування заходів примусового виконання рішення;</w:t>
            </w:r>
          </w:p>
          <w:p w:rsidR="0064428D" w:rsidRPr="0064428D" w:rsidRDefault="0064428D" w:rsidP="0064428D">
            <w:pPr>
              <w:numPr>
                <w:ilvl w:val="0"/>
                <w:numId w:val="16"/>
              </w:numPr>
              <w:tabs>
                <w:tab w:val="num" w:pos="614"/>
              </w:tabs>
              <w:spacing w:after="0" w:line="274" w:lineRule="exact"/>
              <w:ind w:left="46" w:right="20" w:firstLine="426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lang w:eastAsia="uk-UA"/>
              </w:rPr>
              <w:t>правильне складання необхідних процесуальних документів з питань виконавчого провадження;</w:t>
            </w:r>
          </w:p>
          <w:p w:rsidR="0064428D" w:rsidRPr="0064428D" w:rsidRDefault="0064428D" w:rsidP="0064428D">
            <w:pPr>
              <w:keepNext/>
              <w:keepLines/>
              <w:spacing w:after="0" w:line="274" w:lineRule="exact"/>
              <w:ind w:left="20" w:firstLine="45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вміти: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правильно тлумачити матеріальні та процесуальні норми;</w:t>
            </w:r>
          </w:p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- застосовувати норми права для вирішення конкретних практичних ситуацій (казусів)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ПРН 1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4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6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11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18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19</w:t>
            </w: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20</w:t>
            </w:r>
          </w:p>
        </w:tc>
      </w:tr>
    </w:tbl>
    <w:p w:rsidR="0064428D" w:rsidRPr="0064428D" w:rsidRDefault="0064428D" w:rsidP="0064428D">
      <w:pPr>
        <w:spacing w:after="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spacing w:after="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 xml:space="preserve">5. ЗАСОБИ ДІАГНОСТИКИ ТА </w:t>
      </w:r>
      <w:r w:rsidRPr="00644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КРИТЕРІЇ ОЦІНЮВАННЯ </w:t>
      </w:r>
    </w:p>
    <w:p w:rsidR="0064428D" w:rsidRPr="0064428D" w:rsidRDefault="0064428D" w:rsidP="0064428D">
      <w:pPr>
        <w:spacing w:after="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>РЕЗУЛЬТАТІВ НАВЧАННЯ</w:t>
      </w:r>
    </w:p>
    <w:p w:rsidR="0064428D" w:rsidRPr="0064428D" w:rsidRDefault="0064428D" w:rsidP="0064428D">
      <w:pPr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>Засоби оцінювання та методи демонстрування результатів навчання</w:t>
      </w: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</w:t>
      </w: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виступи на практичних заняттях; виконання індивідуальних та групових теоретико-прикладних завдань під час аудиторних занять та самостійної роботи студента; виконання тестових завдань, а також модульних контрольних робіт; залік.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 навчання: пошуковий метод;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пояснювально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-ілюстративний метод; метод мозкового штурму; дослідницький метод; робота в малих групах тощо. Самостійна робота, зокрема, включає: вивчення теоретичних аспектів, що стосуються навчальної дисципліни </w:t>
      </w:r>
      <w:r w:rsidRPr="0064428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64428D">
        <w:rPr>
          <w:rFonts w:ascii="Times New Roman" w:eastAsia="Arial Unicode MS" w:hAnsi="Times New Roman" w:cs="Times New Roman"/>
          <w:sz w:val="24"/>
          <w:szCs w:val="24"/>
          <w:u w:color="000000"/>
          <w:lang w:val="ru-RU"/>
        </w:rPr>
        <w:t>Майнові</w:t>
      </w:r>
      <w:proofErr w:type="spellEnd"/>
      <w:r w:rsidRPr="0064428D">
        <w:rPr>
          <w:rFonts w:ascii="Times New Roman" w:eastAsia="Arial Unicode MS" w:hAnsi="Times New Roman" w:cs="Times New Roman"/>
          <w:sz w:val="24"/>
          <w:szCs w:val="24"/>
          <w:u w:color="000000"/>
          <w:lang w:val="ru-RU"/>
        </w:rPr>
        <w:t xml:space="preserve"> права</w:t>
      </w:r>
      <w:r w:rsidRPr="0064428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насамперед на основі прослуханого лекційного матеріалу; поглиблене вивчення окремих питань передбачених тем (дослідження наукової літератури на задану тему та пошук додаткової інформації, в тому числі правозастосовного характеру); дослідження практики касаційних судів, Великої Палати Верховного Суду з питань майнових прав, підготовку до семінарських занять; узагальнення вивченого матеріалу перед заліком тощо.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Аудиторна та самостійна робота студента забезпечується всіма необхідними навчально-методичними засобами, задля належного вивчення навчальної дисципліни чи окремої її теми, а саме: підручниками, навчальними та навчально-методичними посібниками, методичними рекомендаціями, конспектами лекцій, науковою літературою та періодичними виданнями. Вивчення дисципліни включає в собі й дистанційну організацією навчання, зокрема, в системі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Moodle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за допомогою платформ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Google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Google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Meet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Classroom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тощо). 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Система оцінювання результатів навчання студентів враховує види занять, які згідно з програмою навчальної дисципліни передбачають лекційні та семінарські заняття, а також виконання самостійної роботи. Оцінювання результатів навчання здійснюється за накопичувальною 100-бальною системою, яке включає: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поточний контроль, що здійснюється протягом навчання студента під час проведення лекційних та семінарських занять і оцінюється сумою  набраних  балів (мінімальна кількість балів, що дозволяє  студенту складати </w:t>
      </w:r>
      <w:r w:rsidRPr="0064428D">
        <w:rPr>
          <w:rFonts w:ascii="Times New Roman" w:eastAsia="Calibri" w:hAnsi="Times New Roman" w:cs="Times New Roman"/>
          <w:sz w:val="24"/>
          <w:szCs w:val="24"/>
        </w:rPr>
        <w:t>залік</w:t>
      </w: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35 балів);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- модульний контроль, що проводиться після вивчення матеріалу відповідної частини дисципліни – змістового модуля, з врахуванням результатів поточного контролю;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- підсумковий/семестровий контроль, що проводиться у формі заліку, відповідно до графіку навчального процесу.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Форма підсумкового семестрового контролю:  залік.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Поточний контроль з навчальної дисципліни </w:t>
      </w:r>
      <w:r w:rsidRPr="0064428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64428D">
        <w:rPr>
          <w:rFonts w:ascii="Times New Roman" w:eastAsia="Arial Unicode MS" w:hAnsi="Times New Roman" w:cs="Times New Roman"/>
          <w:sz w:val="24"/>
          <w:szCs w:val="24"/>
          <w:u w:color="000000"/>
          <w:lang w:val="ru-RU"/>
        </w:rPr>
        <w:t>Майнові</w:t>
      </w:r>
      <w:proofErr w:type="spellEnd"/>
      <w:r w:rsidRPr="0064428D">
        <w:rPr>
          <w:rFonts w:ascii="Times New Roman" w:eastAsia="Arial Unicode MS" w:hAnsi="Times New Roman" w:cs="Times New Roman"/>
          <w:sz w:val="24"/>
          <w:szCs w:val="24"/>
          <w:u w:color="000000"/>
          <w:lang w:val="ru-RU"/>
        </w:rPr>
        <w:t xml:space="preserve"> права</w:t>
      </w:r>
      <w:r w:rsidRPr="0064428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проводиться в таких формах: активна робота на лекційних та семінарських заняттях (зокрема, активна участь у дискусії та презентації матеріалу), написання есе, тестування тощо. 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 поточного контролю: усний та письмовий. 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Форма модульного контролю: написання модульної контрольної роботи, включаючи описові та практичні завдання, а також тестування.</w:t>
      </w:r>
    </w:p>
    <w:p w:rsidR="0064428D" w:rsidRPr="0064428D" w:rsidRDefault="0064428D" w:rsidP="006442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Критерії оцінювання  самостійної роботи студентів: рівень знань; володіння </w:t>
      </w:r>
      <w:proofErr w:type="spellStart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>понятійно</w:t>
      </w:r>
      <w:proofErr w:type="spellEnd"/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-категорійним апаратом; вміння узагальнювати набуті знання за окремими темами та вміння </w:t>
      </w:r>
      <w:r w:rsidRPr="0064428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робити обґрунтовані висновки, наявність навичок і прийомів виконання практичних завдань, зокрема щодо складення правозастосовних документів тощо.</w:t>
      </w:r>
    </w:p>
    <w:p w:rsidR="0064428D" w:rsidRPr="0064428D" w:rsidRDefault="0064428D" w:rsidP="0064428D">
      <w:pPr>
        <w:spacing w:after="0" w:line="240" w:lineRule="auto"/>
        <w:jc w:val="center"/>
        <w:outlineLvl w:val="6"/>
        <w:rPr>
          <w:rFonts w:ascii="Calibri" w:eastAsia="Times New Roman" w:hAnsi="Calibri" w:cs="Times New Roman"/>
          <w:b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outlineLvl w:val="6"/>
        <w:rPr>
          <w:rFonts w:ascii="Calibri" w:eastAsia="Times New Roman" w:hAnsi="Calibri" w:cs="Times New Roman"/>
          <w:b/>
          <w:sz w:val="24"/>
          <w:szCs w:val="24"/>
          <w:lang w:eastAsia="uk-UA"/>
        </w:rPr>
      </w:pPr>
      <w:r w:rsidRPr="0064428D">
        <w:rPr>
          <w:rFonts w:ascii="Calibri" w:eastAsia="Times New Roman" w:hAnsi="Calibri" w:cs="Times New Roman"/>
          <w:b/>
          <w:sz w:val="24"/>
          <w:szCs w:val="24"/>
          <w:lang w:eastAsia="uk-UA"/>
        </w:rPr>
        <w:t>Розподіл балів, які отримують здобувачі вищої освіти (модуль 1)</w:t>
      </w: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0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842"/>
        <w:gridCol w:w="708"/>
        <w:gridCol w:w="714"/>
        <w:gridCol w:w="844"/>
        <w:gridCol w:w="697"/>
        <w:gridCol w:w="846"/>
        <w:gridCol w:w="812"/>
        <w:gridCol w:w="167"/>
        <w:gridCol w:w="1970"/>
        <w:gridCol w:w="1126"/>
      </w:tblGrid>
      <w:tr w:rsidR="0064428D" w:rsidRPr="0064428D" w:rsidTr="00E76E63">
        <w:trPr>
          <w:cantSplit/>
        </w:trPr>
        <w:tc>
          <w:tcPr>
            <w:tcW w:w="3383" w:type="pct"/>
            <w:gridSpan w:val="9"/>
            <w:tcMar>
              <w:left w:w="57" w:type="dxa"/>
              <w:right w:w="57" w:type="dxa"/>
            </w:tcMar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Поточне оцінювання та самостійна робота</w:t>
            </w: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Модульна контрольна робота</w:t>
            </w:r>
          </w:p>
        </w:tc>
        <w:tc>
          <w:tcPr>
            <w:tcW w:w="589" w:type="pct"/>
            <w:tcMar>
              <w:left w:w="57" w:type="dxa"/>
              <w:right w:w="57" w:type="dxa"/>
            </w:tcMar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Сума</w:t>
            </w:r>
          </w:p>
        </w:tc>
      </w:tr>
      <w:tr w:rsidR="0064428D" w:rsidRPr="0064428D" w:rsidTr="00E76E63">
        <w:trPr>
          <w:cantSplit/>
        </w:trPr>
        <w:tc>
          <w:tcPr>
            <w:tcW w:w="442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Т1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Т2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Т3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Т4</w:t>
            </w:r>
          </w:p>
        </w:tc>
        <w:tc>
          <w:tcPr>
            <w:tcW w:w="441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Т5…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0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64428D" w:rsidRPr="0064428D" w:rsidTr="00E76E63">
        <w:trPr>
          <w:cantSplit/>
        </w:trPr>
        <w:tc>
          <w:tcPr>
            <w:tcW w:w="442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41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" w:type="pct"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9" w:type="pct"/>
            <w:vMerge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Merge/>
            <w:tcMar>
              <w:left w:w="57" w:type="dxa"/>
              <w:right w:w="57" w:type="dxa"/>
            </w:tcMar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4428D" w:rsidRPr="0064428D" w:rsidRDefault="0064428D" w:rsidP="0064428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Т1, Т2 ... – теми</w:t>
      </w:r>
    </w:p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Оцінювання окремих видів навчальної роботи з дисципліни</w:t>
      </w:r>
    </w:p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2977"/>
      </w:tblGrid>
      <w:tr w:rsidR="0064428D" w:rsidRPr="0064428D" w:rsidTr="00E76E63">
        <w:tc>
          <w:tcPr>
            <w:tcW w:w="3828" w:type="dxa"/>
            <w:vMerge w:val="restart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Вид діяльності здобувача вищої освіти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Модуль 1</w:t>
            </w:r>
          </w:p>
        </w:tc>
      </w:tr>
      <w:tr w:rsidR="0064428D" w:rsidRPr="0064428D" w:rsidTr="00E76E63">
        <w:tc>
          <w:tcPr>
            <w:tcW w:w="3828" w:type="dxa"/>
            <w:vMerge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Максимальна кількість балів (сумарна)</w:t>
            </w:r>
          </w:p>
        </w:tc>
      </w:tr>
      <w:tr w:rsidR="0064428D" w:rsidRPr="0064428D" w:rsidTr="00E76E63">
        <w:trPr>
          <w:trHeight w:val="70"/>
        </w:trPr>
        <w:tc>
          <w:tcPr>
            <w:tcW w:w="3828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Практичні (семінарські) заняття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64428D" w:rsidRPr="0064428D" w:rsidTr="00E76E63">
        <w:tc>
          <w:tcPr>
            <w:tcW w:w="3828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Комп’ютерне тестування при тематичному оцінюванні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семінарських занять</w:t>
            </w:r>
          </w:p>
        </w:tc>
      </w:tr>
      <w:tr w:rsidR="0064428D" w:rsidRPr="0064428D" w:rsidTr="00E76E63">
        <w:tc>
          <w:tcPr>
            <w:tcW w:w="3828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Письмове тестування при тематичному оцінюванні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семінарських занять</w:t>
            </w:r>
          </w:p>
        </w:tc>
      </w:tr>
      <w:tr w:rsidR="0064428D" w:rsidRPr="0064428D" w:rsidTr="00E76E63">
        <w:tc>
          <w:tcPr>
            <w:tcW w:w="3828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Модульна контрольна робота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64428D" w:rsidRPr="0064428D" w:rsidTr="00E76E63">
        <w:tc>
          <w:tcPr>
            <w:tcW w:w="3828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842" w:type="dxa"/>
            <w:shd w:val="pct12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shd w:val="clear" w:color="auto" w:fill="auto"/>
          </w:tcPr>
          <w:p w:rsidR="0064428D" w:rsidRPr="0064428D" w:rsidRDefault="0064428D" w:rsidP="0064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</w:p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</w:p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Критерії оцінювання модульної контрольної роботи</w:t>
      </w: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1"/>
        <w:gridCol w:w="1586"/>
        <w:gridCol w:w="3436"/>
        <w:gridCol w:w="3047"/>
      </w:tblGrid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балів за всі види навчальної діяльності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Оцінка</w:t>
            </w: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екзамену, курсового проекту (роботи), практики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заліку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90 - 100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82 - 89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74 - 81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64 - 73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60 - 63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35 - 59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 з можливістю повторного складання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 з можливістю повторного складання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0 - 34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 з обов'язковим повторним вивченням дисципліни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 з обов'язковим повторним вивченням дисципліни</w:t>
            </w:r>
          </w:p>
        </w:tc>
      </w:tr>
    </w:tbl>
    <w:p w:rsidR="0064428D" w:rsidRPr="0064428D" w:rsidRDefault="0064428D" w:rsidP="006442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модульної контрольної роботи допускаються всі студенти, а до підсумкового семестрового контролю з навчальної дисципліни – студенти, які отримали не менше 35 балів 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(враховуються як результати модульної контрольної роботи та поточного контролю під час семінарської та самостійної роботи студента).</w:t>
      </w:r>
    </w:p>
    <w:p w:rsidR="0064428D" w:rsidRPr="0064428D" w:rsidRDefault="0064428D" w:rsidP="00644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підсумкового контролю з навчальної дисципліни не допускаються студенти, підсумкова модульна оцінка яких становить менше 35 балів. Студент, який за результатами модульних контролів отримав оцінку «F» ( менше 34 балів), повинен до проведення підсумкового (семестрового) контролю покращити цю оцінку. Без такого покращання він до підсумкового контролю не допускається. </w:t>
      </w:r>
    </w:p>
    <w:p w:rsidR="0064428D" w:rsidRPr="0064428D" w:rsidRDefault="0064428D" w:rsidP="0064428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 ПРОГРАМА НАВЧАЛЬНОЇ ДИСЦИПЛІНИ</w:t>
      </w: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6.1. Зміст навчальної дисципліни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7249"/>
      </w:tblGrid>
      <w:tr w:rsidR="0064428D" w:rsidRPr="0064428D" w:rsidTr="00E76E63">
        <w:tc>
          <w:tcPr>
            <w:tcW w:w="1242" w:type="dxa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Модуль І </w:t>
            </w:r>
          </w:p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Змістовний модуль 1</w:t>
            </w:r>
          </w:p>
        </w:tc>
        <w:tc>
          <w:tcPr>
            <w:tcW w:w="7249" w:type="dxa"/>
          </w:tcPr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>Тема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 xml:space="preserve">1. 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Виконавче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провадження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структурі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судочинства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судових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рішень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судочинства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Учасники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провадження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64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3. Роль суду у</w:t>
            </w:r>
            <w:r w:rsidRPr="0064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виконавчому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провадженні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c>
          <w:tcPr>
            <w:tcW w:w="1242" w:type="dxa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49" w:type="dxa"/>
          </w:tcPr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>Тема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Загальні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правила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виконавчого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провадження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Підстави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судових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актів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інших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органів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Виконавчі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документи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2. Строки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пред’явлення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виконавчих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документів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3. Порядок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умови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здійснення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провадження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c>
          <w:tcPr>
            <w:tcW w:w="1242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Змістовний модуль 2</w:t>
            </w:r>
          </w:p>
        </w:tc>
        <w:tc>
          <w:tcPr>
            <w:tcW w:w="7249" w:type="dxa"/>
          </w:tcPr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>Тема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Окремі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виконавчі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дії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стягнення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майно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боржника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2. 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Виконання рішення про конфіскацію майна</w:t>
            </w:r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стягнення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2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неру</w:t>
            </w:r>
            <w:r w:rsidRPr="0064428D">
              <w:rPr>
                <w:rFonts w:ascii="Times New Roman" w:eastAsia="Calibri" w:hAnsi="Times New Roman" w:cs="Times New Roman"/>
                <w:sz w:val="24"/>
                <w:szCs w:val="24"/>
              </w:rPr>
              <w:t>хоме</w:t>
            </w:r>
            <w:proofErr w:type="spellEnd"/>
            <w:r w:rsidRPr="00644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майно</w:t>
            </w:r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стягнення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майно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і</w:t>
            </w:r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en-US"/>
              </w:rPr>
              <w:t> 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грошові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суми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боржника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що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знаходяться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в</w:t>
            </w:r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en-US"/>
              </w:rPr>
              <w:t> 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інших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осіб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або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належать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боржникові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від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інших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осіб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стягнення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заробітну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плату (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заробіток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пенсію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стипендію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боржника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стягнення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майно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боржника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юридичної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особи</w:t>
            </w:r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Розподіл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стягнутих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сум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між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стягувачами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про передачу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певних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предметів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і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здійснення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певних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дій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9.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 стягнення на майно боржника у виконавчому провадженні, коли відносно останнього порушено провадження у справі про банкрутство</w:t>
            </w:r>
          </w:p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c>
          <w:tcPr>
            <w:tcW w:w="1242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Змістовний модуль 3</w:t>
            </w:r>
          </w:p>
        </w:tc>
        <w:tc>
          <w:tcPr>
            <w:tcW w:w="7249" w:type="dxa"/>
          </w:tcPr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 xml:space="preserve">ТЕМА 4. 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Поворот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судовий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контроль за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виконанням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судових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1. Поворот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судових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2.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Судовий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контроль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судових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рішень</w:t>
            </w:r>
            <w:proofErr w:type="spellEnd"/>
          </w:p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c>
          <w:tcPr>
            <w:tcW w:w="1242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4428D" w:rsidRPr="0064428D" w:rsidRDefault="0064428D" w:rsidP="0064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49" w:type="dxa"/>
          </w:tcPr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>ТЕМА</w:t>
            </w:r>
            <w:r w:rsidRPr="0064428D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val="ru-RU"/>
              </w:rPr>
              <w:t xml:space="preserve"> </w:t>
            </w:r>
            <w:r w:rsidRPr="0064428D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Визнання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іноземних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судів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комерційного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арбітражу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Україні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Поняття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й</w:t>
            </w: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умови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визнання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рішень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іноземних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судів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Визнання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звернення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рішення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іноземного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суду,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що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підлягає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примусовому</w:t>
            </w:r>
            <w:proofErr w:type="spellEnd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28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2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 Визнання рішення іноземного суду, що не підлягає примусовому виконанню</w:t>
            </w:r>
          </w:p>
          <w:p w:rsidR="0064428D" w:rsidRPr="0064428D" w:rsidRDefault="0064428D" w:rsidP="0064428D">
            <w:pPr>
              <w:tabs>
                <w:tab w:val="right" w:leader="dot" w:pos="648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2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Визнання та приведення до виконання рішень міжнародного комерційного арбітражу</w:t>
            </w: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6.2. </w:t>
      </w:r>
      <w:r w:rsidRPr="006442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 навчальної дисципліни</w:t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4"/>
        <w:gridCol w:w="799"/>
        <w:gridCol w:w="364"/>
        <w:gridCol w:w="364"/>
        <w:gridCol w:w="473"/>
        <w:gridCol w:w="442"/>
        <w:gridCol w:w="1117"/>
        <w:gridCol w:w="799"/>
        <w:gridCol w:w="364"/>
        <w:gridCol w:w="364"/>
        <w:gridCol w:w="473"/>
        <w:gridCol w:w="442"/>
        <w:gridCol w:w="2165"/>
      </w:tblGrid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  <w:vMerge w:val="restar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3733" w:type="pct"/>
            <w:gridSpan w:val="12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  <w:vMerge/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4" w:type="pct"/>
            <w:gridSpan w:val="6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2078" w:type="pct"/>
            <w:gridSpan w:val="6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  <w:vMerge/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vMerge w:val="restar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253" w:type="pct"/>
            <w:gridSpan w:val="5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360" w:type="pct"/>
            <w:vMerge w:val="restar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698" w:type="pct"/>
            <w:gridSpan w:val="5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  <w:vMerge/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vMerge/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" w:type="pct"/>
            <w:vMerge/>
            <w:vAlign w:val="center"/>
          </w:tcPr>
          <w:p w:rsidR="0064428D" w:rsidRPr="0064428D" w:rsidRDefault="0064428D" w:rsidP="0064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с.р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958" w:type="pct"/>
            <w:gridSpan w:val="13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1.</w:t>
            </w: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958" w:type="pct"/>
            <w:gridSpan w:val="13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Змістовний модуль 1</w:t>
            </w:r>
          </w:p>
        </w:tc>
      </w:tr>
      <w:tr w:rsidR="0064428D" w:rsidRPr="0064428D" w:rsidTr="00E76E63">
        <w:trPr>
          <w:trHeight w:val="350"/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Виконавче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провадження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структурі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судочинства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Загальні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правила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провадження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8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4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Разом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змістовним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модулем 1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958" w:type="pct"/>
            <w:gridSpan w:val="13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Змістовний модуль 2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Окремі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дії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Разом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змістовним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модулем 2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958" w:type="pct"/>
            <w:gridSpan w:val="13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Змістовний модуль 3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Поворот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судовий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контроль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судових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рішень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Визнання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рішень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іноземних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судів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міжнародного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комерційного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арбітражу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Україні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Разом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змістовним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модулем 3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1204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Усього</w:t>
            </w:r>
            <w:proofErr w:type="spellEnd"/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36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5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Теми семінарських занять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4"/>
        <w:gridCol w:w="7777"/>
        <w:gridCol w:w="1809"/>
      </w:tblGrid>
      <w:tr w:rsidR="0064428D" w:rsidRPr="0064428D" w:rsidTr="00E76E63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годин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Теми практичних занять</w:t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2"/>
        <w:gridCol w:w="7787"/>
        <w:gridCol w:w="1821"/>
      </w:tblGrid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Теми лабораторних занять</w:t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2"/>
        <w:gridCol w:w="7787"/>
        <w:gridCol w:w="1821"/>
      </w:tblGrid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37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4428D" w:rsidRPr="0064428D" w:rsidRDefault="0064428D" w:rsidP="00644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Самостійна робота</w:t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"/>
        <w:gridCol w:w="6771"/>
        <w:gridCol w:w="1349"/>
        <w:gridCol w:w="1475"/>
      </w:tblGrid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  <w:vMerge w:val="restar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218" w:type="pct"/>
            <w:vMerge w:val="restar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298" w:type="pct"/>
            <w:gridSpan w:val="2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  <w:vMerge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18" w:type="pct"/>
            <w:vMerge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653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Виконавче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провадження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структурі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судочинства</w:t>
            </w:r>
            <w:proofErr w:type="spellEnd"/>
          </w:p>
        </w:tc>
        <w:tc>
          <w:tcPr>
            <w:tcW w:w="624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3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Загальні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правила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провадження</w:t>
            </w:r>
            <w:proofErr w:type="spellEnd"/>
          </w:p>
        </w:tc>
        <w:tc>
          <w:tcPr>
            <w:tcW w:w="624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3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Окремі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виконавчі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дії</w:t>
            </w:r>
            <w:proofErr w:type="spellEnd"/>
          </w:p>
        </w:tc>
        <w:tc>
          <w:tcPr>
            <w:tcW w:w="624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3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Поворот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судовий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контроль за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виконанням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судових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рішень</w:t>
            </w:r>
            <w:proofErr w:type="spellEnd"/>
          </w:p>
        </w:tc>
        <w:tc>
          <w:tcPr>
            <w:tcW w:w="624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3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Визнання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рішень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іноземних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судів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міжнародного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комерційного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арбітражу</w:t>
            </w:r>
            <w:proofErr w:type="spellEnd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</w:t>
            </w: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Україні</w:t>
            </w:r>
            <w:proofErr w:type="spellEnd"/>
          </w:p>
        </w:tc>
        <w:tc>
          <w:tcPr>
            <w:tcW w:w="624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53" w:type="pct"/>
            <w:vAlign w:val="center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64428D" w:rsidRPr="0064428D" w:rsidTr="00E76E63">
        <w:trPr>
          <w:tblCellSpacing w:w="22" w:type="dxa"/>
          <w:jc w:val="center"/>
        </w:trPr>
        <w:tc>
          <w:tcPr>
            <w:tcW w:w="400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Усього годин</w:t>
            </w:r>
          </w:p>
        </w:tc>
        <w:tc>
          <w:tcPr>
            <w:tcW w:w="3218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4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53" w:type="pct"/>
          </w:tcPr>
          <w:p w:rsidR="0064428D" w:rsidRPr="0064428D" w:rsidRDefault="0064428D" w:rsidP="00644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</w:tbl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4428D" w:rsidRPr="0064428D" w:rsidRDefault="0064428D" w:rsidP="0064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8. РЕКОМЕНДОВАНІ ДЖЕРЕЛА ІНФОРМАЦІЇ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  <w:r w:rsidRPr="0064428D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  <w:t>Основна література:</w:t>
      </w:r>
    </w:p>
    <w:p w:rsidR="0064428D" w:rsidRPr="0064428D" w:rsidRDefault="0064428D" w:rsidP="006442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  <w:t>Нормативно-правові акти: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Цивільний кодекс України 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Господарський кодекс України 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Земельний кодекс України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акціонерні товариства: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 України від 17 вересня 2008  № </w:t>
      </w:r>
      <w:r w:rsidRPr="0064428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514-VI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господарські товариства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 України від 19 вересня 1991 р. № 1576-XII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державну реєстрацію юридичних осіб та фізичних осіб – підприємців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 України від 15 травня 2003 р. № 755-IV 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ліцензування певних видів господарської діяльності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 України від 1 червня 2000 р. № 1775-III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цінні папери та фондовий ринок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 України від 23 лютого 2006 р. № 3480-IV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державну реєстрацію речових прав на нерухоме майно та їх обтяжень</w:t>
      </w: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 України від 01 липня 2004 р. № </w:t>
      </w:r>
      <w:r w:rsidRPr="00644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1952-IV</w:t>
      </w:r>
    </w:p>
    <w:p w:rsidR="0064428D" w:rsidRPr="0064428D" w:rsidRDefault="0064428D" w:rsidP="0064428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фінансові послуги та державне регулювання ринків фінансових послуг: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 України від </w:t>
      </w:r>
      <w:r w:rsidRPr="006442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12 липня 2001 року № 2664-III</w:t>
      </w:r>
    </w:p>
    <w:p w:rsidR="0064428D" w:rsidRPr="0064428D" w:rsidRDefault="0064428D" w:rsidP="0064428D">
      <w:pPr>
        <w:tabs>
          <w:tab w:val="num" w:pos="18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Cs/>
          <w:w w:val="104"/>
          <w:sz w:val="24"/>
          <w:szCs w:val="24"/>
          <w:lang w:eastAsia="uk-UA"/>
        </w:rPr>
      </w:pPr>
    </w:p>
    <w:p w:rsidR="0064428D" w:rsidRPr="0064428D" w:rsidRDefault="0064428D" w:rsidP="0064428D">
      <w:pPr>
        <w:tabs>
          <w:tab w:val="num" w:pos="18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eastAsia="uk-UA"/>
        </w:rPr>
        <w:tab/>
        <w:t>Навчально-методична та наукова література: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Бабич В.А. Принципи функціонування Державної виконавчої служби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В.А. Бабич //Адвокат.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- 201. - № 11.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34-37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Бородін І.Л. Дослідження процесу правового регулювання виконавчого провадження від минулого до сьогодення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І.Л. Бородін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Повітряне і космічне право. Юридичний вісник.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- 2009. - № 1.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27-30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208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Гальперин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М.Л.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Правая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политика и принципы исполнительного производства / М.Л. Гальперин // Закон. - 2011. - № 7. - С. 133-144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591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Гетьманцев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 В. Участь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сторін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виконавчому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правовідношенні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О.Гетьманцев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Вісник Хмельницького інституту управління та права.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- 2000. - № 3.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19-25.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591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Говоруха М. Нова роль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прокурора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виконавчому провадженні / М. Говоруха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Вісник Національної академії прокуратури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- 2011. - № 3.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9-12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591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Гребьонкіна Л. Виконання рішень суду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стягнення аліментів / Л. Гребьонкіна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- 2000. - № 10.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130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Гук Б.М. Сучасний погляд на правову природу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Б.М. Гук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Наше право.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- 2009. - № 1.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87-90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2017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Журавська В. Порядок звернення стягнення на майно боржника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юридичної особи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 Журавська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Юридичний радник.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- 2005. - №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5. - С.47-49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Ігонін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Р.В. Організаційно-правові засади діяльності суб'єктів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Р.В.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Ігонін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Автореф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наук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12.00.07.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Ірпінь,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2007. - 20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91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Каращук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Л. Історико-правова природа становлення правового регулювання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стягувача у виконавчому провадженні / К. Л.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Каращук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Бюлетень Міністерства юстиції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- 2010. - № 12. -105-113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75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Касинюк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 Особливості укладання мирової угоди на стадії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Касинюк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//Правовий тиждень.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- 2010. - 12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жовтня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(№ 41).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2098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Клименко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О.С. Щодо окремих аспектів діяльності державної виконавчої служби у дорадянський та сучасний періоди: порівняльно-правовий аналіз / О.С. Клименко // Науковий вісник Дніпропетровського державного університету внутрішніх справ.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2010. - № 1(47).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127-137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207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Лужанський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А.В. Особливості доступу до суду у справах про оскарження оцінки майна на стадії виконавчого провадження /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А.В.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Лужанський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//Вісник Верховного Суду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- 2011. - № 9.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64428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/>
        </w:rPr>
        <w:t>33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Наумоменко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Історія виникнення та становлення інституту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Вісник: Юридичні науки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Київський національний університет ім. Т. Шевченка.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- 2007. - № 77-78.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en-US"/>
        </w:rPr>
        <w:t>49</w:t>
      </w:r>
      <w:r w:rsidRPr="0064428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en-US"/>
        </w:rPr>
        <w:t>53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701"/>
          <w:tab w:val="left" w:pos="851"/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Ніколаєва І.В. Дії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відбуваються у виконавчому провадженні під час процедури розпорядження майном боржника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І.В. Ніколаєва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/Вісник господарського судочинства.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- 2011. - № 6.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154-162.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200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Павленко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С. Проблемні аспекти звернення стягнення на заставне майно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Павленко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- 2010. - № 1.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200-203.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993"/>
          <w:tab w:val="left" w:pos="1134"/>
          <w:tab w:val="left" w:pos="129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виконавчу службу та виконавче провадження в Україні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і практика.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- 2011. - № 14-15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(квітень).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4-210.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725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Стаднік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 Правова природа виконавчого збору: фінансово-правові аспекти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Стаднік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- 2009. - № 11.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С.156-164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725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Фурса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Є.І. Дії державного виконавця щодо задоволення права боржника на визначення першочерговості стягнення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Є.І.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Фурса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//Юриспруденція: теорія і практика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- 2007. - № 10.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36-40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720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Хотинська О. Процесуальне становище сторін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О. Хотинська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- 2004. - № 3.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Чеголя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Є.О. Примусові заходи органів державної виконавчої служби в межах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Є.О.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Чеголя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Південноукраїнський правничий часопис.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- 2010. - № 3.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81-83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Чумак О. Місце інституту виконавчого провадження в системі права і законодавства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О. Чумак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Публічне право.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- 2012. - № 2.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55-62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  <w:tab w:val="left" w:pos="2227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Шульженко Ю. Статус державних виконавців та Державної виконавчої служби України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Ю. Шульженко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- 2003. - № 10.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  <w:tab w:val="left" w:pos="178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Шупеня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Ревалізація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арештованого державним виконавцем майна боржника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М.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Шупеня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 України.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- 2006. - № 2. -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>С.90-92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  <w:tab w:val="left" w:pos="1958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Щербак С. К вопросу о правовом статусе государственного исполнителя / С. Щербак // Предпринимательство, хозяйство и право. - 1999. - № 12.</w:t>
      </w:r>
    </w:p>
    <w:p w:rsidR="0064428D" w:rsidRPr="0064428D" w:rsidRDefault="0064428D" w:rsidP="0064428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Щербак С.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виконавчого провадження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системі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права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С. Щербак // 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Підприємництво, господарство і право.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- 2001. - №6. - 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4428D">
        <w:rPr>
          <w:rFonts w:ascii="Times New Roman" w:eastAsia="Times New Roman" w:hAnsi="Times New Roman" w:cs="Times New Roman"/>
          <w:sz w:val="24"/>
          <w:szCs w:val="24"/>
          <w:lang w:val="ru-RU"/>
        </w:rPr>
        <w:t>.75-79</w:t>
      </w: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>Інформаційні ресурси в мережі Інтернет</w:t>
      </w:r>
    </w:p>
    <w:p w:rsidR="0064428D" w:rsidRPr="0064428D" w:rsidRDefault="0064428D" w:rsidP="0064428D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hyperlink r:id="rId5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http://www.portal.rada.gov.ua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офіційний веб-сайт Верховної Ради України.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hyperlink r:id="rId6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http://www.president.gov.ua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офіційний веб-сайт Президента України.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http://</w:t>
      </w:r>
      <w:hyperlink r:id="rId7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www.kmu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.gov.ua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-офіційний веб-сайт Кабінету Міністрів України.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hyperlink r:id="rId8" w:history="1">
        <w:r w:rsidRPr="0064428D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http://www.court.gov.ua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офіційний веб портал судової влади в Україні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hyperlink r:id="rId9" w:history="1">
        <w:r w:rsidRPr="0064428D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https://supreme.court.gov.ua</w:t>
        </w:r>
      </w:hyperlink>
      <w:r w:rsidRPr="006442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офіційний веб-сайт Верховного Суду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http://</w:t>
      </w:r>
      <w:hyperlink r:id="rId10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www.reyestr.court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.gov.ua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єдиний реєстр судових рішень в Україні.</w:t>
      </w:r>
    </w:p>
    <w:p w:rsidR="0064428D" w:rsidRPr="0064428D" w:rsidRDefault="0064428D" w:rsidP="0064428D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http://</w:t>
      </w:r>
      <w:hyperlink r:id="rId11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www.nbuv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.gov.ua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Національної бібліотеки України ім. </w:t>
      </w:r>
      <w:proofErr w:type="spellStart"/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В.І.Вернадського</w:t>
      </w:r>
      <w:proofErr w:type="spellEnd"/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4428D" w:rsidRPr="0064428D" w:rsidRDefault="0064428D" w:rsidP="0064428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64428D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lastRenderedPageBreak/>
        <w:t xml:space="preserve"> </w:t>
      </w:r>
      <w:r w:rsidRPr="0064428D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ab/>
      </w:r>
      <w:r w:rsidRPr="006442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 xml:space="preserve"> </w:t>
      </w:r>
      <w:hyperlink r:id="rId12" w:history="1">
        <w:r w:rsidRPr="0064428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http://www.catalogue.nplu.org</w:t>
        </w:r>
      </w:hyperlink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42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- Національна парламентська бібліотека України</w:t>
      </w: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Результати перегляду </w:t>
      </w: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28D">
        <w:rPr>
          <w:rFonts w:ascii="Times New Roman" w:eastAsia="Calibri" w:hAnsi="Times New Roman" w:cs="Times New Roman"/>
          <w:b/>
          <w:sz w:val="24"/>
          <w:szCs w:val="24"/>
        </w:rPr>
        <w:t>робочої програми навчальної дисципліни</w:t>
      </w: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 від «____»__________ 20 ___ р.    Завідувач кафедри _________ ____________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(підпис)           (Прізвище ініціали)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 від «____»__________ 20 ___ р.    Завідувач кафедри _________ ____________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(Прізвище ініціали)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 від «____»__________ 20 ___ р.    Завідувач кафедри _________ ____________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 (Прізвище ініціали)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 від «____»__________ 20 ___ р.    Завідувач кафедри _________ ____________</w:t>
      </w:r>
      <w:r w:rsidRPr="0064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8D" w:rsidRPr="0064428D" w:rsidRDefault="0064428D" w:rsidP="00644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64428D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(Прізвище ініціали)</w:t>
      </w:r>
    </w:p>
    <w:p w:rsidR="0064428D" w:rsidRPr="0064428D" w:rsidRDefault="0064428D" w:rsidP="006442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64428D" w:rsidRPr="0064428D" w:rsidRDefault="0064428D" w:rsidP="006442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25D9" w:rsidRDefault="007525D9">
      <w:bookmarkStart w:id="0" w:name="_GoBack"/>
      <w:bookmarkEnd w:id="0"/>
    </w:p>
    <w:sectPr w:rsidR="007525D9" w:rsidSect="009214AF">
      <w:footerReference w:type="even" r:id="rId13"/>
      <w:footerReference w:type="default" r:id="rId14"/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7BC" w:rsidRDefault="0064428D" w:rsidP="009214A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677BC" w:rsidRDefault="0064428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7BC" w:rsidRDefault="0064428D" w:rsidP="006461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2677BC" w:rsidRDefault="0064428D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7568B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7C"/>
    <w:multiLevelType w:val="singleLevel"/>
    <w:tmpl w:val="0000007C"/>
    <w:name w:val="WW8Num125"/>
    <w:lvl w:ilvl="0">
      <w:start w:val="1"/>
      <w:numFmt w:val="decimal"/>
      <w:pStyle w:val="Numeri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A16197"/>
    <w:multiLevelType w:val="multilevel"/>
    <w:tmpl w:val="5566A3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5A47B4"/>
    <w:multiLevelType w:val="multilevel"/>
    <w:tmpl w:val="FB7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B5F2B"/>
    <w:multiLevelType w:val="hybridMultilevel"/>
    <w:tmpl w:val="33B4C9D4"/>
    <w:lvl w:ilvl="0" w:tplc="5E2E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B1B5A"/>
    <w:multiLevelType w:val="multilevel"/>
    <w:tmpl w:val="F394F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56294"/>
    <w:multiLevelType w:val="hybridMultilevel"/>
    <w:tmpl w:val="35D80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E78C4"/>
    <w:multiLevelType w:val="hybridMultilevel"/>
    <w:tmpl w:val="85D47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B2A76"/>
    <w:multiLevelType w:val="hybridMultilevel"/>
    <w:tmpl w:val="50788DF0"/>
    <w:lvl w:ilvl="0" w:tplc="96D4DB82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84069C8"/>
    <w:multiLevelType w:val="hybridMultilevel"/>
    <w:tmpl w:val="1FD247A6"/>
    <w:lvl w:ilvl="0" w:tplc="4FD28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913C3C"/>
    <w:multiLevelType w:val="multilevel"/>
    <w:tmpl w:val="13BA2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654546"/>
    <w:multiLevelType w:val="multilevel"/>
    <w:tmpl w:val="94E46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AC60C9"/>
    <w:multiLevelType w:val="hybridMultilevel"/>
    <w:tmpl w:val="8BB4E1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270A81"/>
    <w:multiLevelType w:val="hybridMultilevel"/>
    <w:tmpl w:val="5EE2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D7E88"/>
    <w:multiLevelType w:val="hybridMultilevel"/>
    <w:tmpl w:val="EF32D7F4"/>
    <w:lvl w:ilvl="0" w:tplc="7C74EF9C">
      <w:start w:val="1"/>
      <w:numFmt w:val="decimal"/>
      <w:lvlText w:val="%1."/>
      <w:lvlJc w:val="left"/>
      <w:pPr>
        <w:tabs>
          <w:tab w:val="num" w:pos="397"/>
        </w:tabs>
        <w:ind w:left="397" w:hanging="11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7F2F3B"/>
    <w:multiLevelType w:val="hybridMultilevel"/>
    <w:tmpl w:val="46909566"/>
    <w:lvl w:ilvl="0" w:tplc="022A4D8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15"/>
  </w:num>
  <w:num w:numId="5">
    <w:abstractNumId w:val="13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8D"/>
    <w:rsid w:val="0064428D"/>
    <w:rsid w:val="0075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BD57A-CF25-4AAC-8D9C-13AF591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2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64428D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eastAsia="uk-UA"/>
    </w:rPr>
  </w:style>
  <w:style w:type="paragraph" w:styleId="3">
    <w:name w:val="heading 3"/>
    <w:basedOn w:val="a"/>
    <w:next w:val="a"/>
    <w:link w:val="30"/>
    <w:qFormat/>
    <w:rsid w:val="0064428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5">
    <w:name w:val="heading 5"/>
    <w:basedOn w:val="a"/>
    <w:next w:val="a"/>
    <w:link w:val="50"/>
    <w:qFormat/>
    <w:rsid w:val="0064428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7">
    <w:name w:val="heading 7"/>
    <w:basedOn w:val="a"/>
    <w:next w:val="a"/>
    <w:link w:val="70"/>
    <w:unhideWhenUsed/>
    <w:qFormat/>
    <w:rsid w:val="0064428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28D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semiHidden/>
    <w:rsid w:val="0064428D"/>
    <w:rPr>
      <w:rFonts w:ascii="Calibri" w:eastAsia="Times New Roman" w:hAnsi="Calibri" w:cs="Times New Roman"/>
      <w:b/>
      <w:bCs/>
      <w:color w:val="4F81BD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4428D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50">
    <w:name w:val="Заголовок 5 Знак"/>
    <w:basedOn w:val="a0"/>
    <w:link w:val="5"/>
    <w:rsid w:val="0064428D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70">
    <w:name w:val="Заголовок 7 Знак"/>
    <w:basedOn w:val="a0"/>
    <w:link w:val="7"/>
    <w:rsid w:val="0064428D"/>
    <w:rPr>
      <w:rFonts w:ascii="Calibri" w:eastAsia="Times New Roman" w:hAnsi="Calibri" w:cs="Times New Roman"/>
      <w:sz w:val="24"/>
      <w:szCs w:val="24"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64428D"/>
  </w:style>
  <w:style w:type="paragraph" w:styleId="a3">
    <w:name w:val="Normal (Web)"/>
    <w:basedOn w:val="a"/>
    <w:unhideWhenUsed/>
    <w:rsid w:val="006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semiHidden/>
    <w:rsid w:val="0064428D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semiHidden/>
    <w:rsid w:val="0064428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1">
    <w:name w:val="Body Text 3"/>
    <w:basedOn w:val="a"/>
    <w:link w:val="32"/>
    <w:semiHidden/>
    <w:rsid w:val="0064428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ий текст 3 Знак"/>
    <w:basedOn w:val="a0"/>
    <w:link w:val="31"/>
    <w:semiHidden/>
    <w:rsid w:val="006442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rsid w:val="0064428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6442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semiHidden/>
    <w:rsid w:val="00644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Нижній колонтитул Знак"/>
    <w:basedOn w:val="a0"/>
    <w:link w:val="a8"/>
    <w:semiHidden/>
    <w:rsid w:val="0064428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a">
    <w:name w:val="page number"/>
    <w:basedOn w:val="a0"/>
    <w:semiHidden/>
    <w:rsid w:val="0064428D"/>
  </w:style>
  <w:style w:type="paragraph" w:styleId="ab">
    <w:name w:val="Title"/>
    <w:basedOn w:val="a"/>
    <w:link w:val="ac"/>
    <w:qFormat/>
    <w:rsid w:val="0064428D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  <w:lang w:val="ru-RU" w:eastAsia="ru-RU"/>
    </w:rPr>
  </w:style>
  <w:style w:type="character" w:customStyle="1" w:styleId="ac">
    <w:name w:val="Назва Знак"/>
    <w:basedOn w:val="a0"/>
    <w:link w:val="ab"/>
    <w:rsid w:val="0064428D"/>
    <w:rPr>
      <w:rFonts w:ascii="Times New Roman" w:eastAsia="Times New Roman" w:hAnsi="Times New Roman" w:cs="Times New Roman"/>
      <w:b/>
      <w:color w:val="000000"/>
      <w:sz w:val="30"/>
      <w:szCs w:val="20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644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64428D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styleId="ad">
    <w:name w:val="Hyperlink"/>
    <w:rsid w:val="0064428D"/>
    <w:rPr>
      <w:color w:val="0000FF"/>
      <w:u w:val="single"/>
    </w:rPr>
  </w:style>
  <w:style w:type="character" w:styleId="HTML1">
    <w:name w:val="HTML Cite"/>
    <w:rsid w:val="0064428D"/>
    <w:rPr>
      <w:i/>
      <w:iCs/>
    </w:rPr>
  </w:style>
  <w:style w:type="character" w:styleId="ae">
    <w:name w:val="Emphasis"/>
    <w:qFormat/>
    <w:rsid w:val="0064428D"/>
    <w:rPr>
      <w:i/>
      <w:iCs/>
    </w:rPr>
  </w:style>
  <w:style w:type="character" w:customStyle="1" w:styleId="WW8Num2z0">
    <w:name w:val="WW8Num2z0"/>
    <w:rsid w:val="0064428D"/>
    <w:rPr>
      <w:rFonts w:ascii="Times New Roman" w:hAnsi="Times New Roman"/>
      <w:b w:val="0"/>
      <w:i w:val="0"/>
      <w:sz w:val="22"/>
      <w:szCs w:val="22"/>
    </w:rPr>
  </w:style>
  <w:style w:type="table" w:styleId="af">
    <w:name w:val="Table Grid"/>
    <w:basedOn w:val="a1"/>
    <w:rsid w:val="0064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k1">
    <w:name w:val="Numerik1"/>
    <w:basedOn w:val="a"/>
    <w:rsid w:val="0064428D"/>
    <w:pPr>
      <w:numPr>
        <w:numId w:val="2"/>
      </w:numPr>
      <w:tabs>
        <w:tab w:val="left" w:pos="397"/>
        <w:tab w:val="left" w:pos="757"/>
      </w:tabs>
      <w:suppressAutoHyphens/>
      <w:spacing w:after="20" w:line="240" w:lineRule="auto"/>
      <w:jc w:val="both"/>
    </w:pPr>
    <w:rPr>
      <w:rFonts w:ascii="Arial" w:eastAsia="Arial" w:hAnsi="Arial" w:cs="Times New Roman"/>
      <w:sz w:val="24"/>
      <w:szCs w:val="20"/>
      <w:lang w:val="ru-RU" w:eastAsia="ar-SA"/>
    </w:rPr>
  </w:style>
  <w:style w:type="paragraph" w:styleId="af0">
    <w:name w:val="List Paragraph"/>
    <w:basedOn w:val="a"/>
    <w:uiPriority w:val="34"/>
    <w:qFormat/>
    <w:rsid w:val="0064428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Title1">
    <w:name w:val="Title1"/>
    <w:basedOn w:val="a0"/>
    <w:rsid w:val="0064428D"/>
  </w:style>
  <w:style w:type="character" w:customStyle="1" w:styleId="st">
    <w:name w:val="st"/>
    <w:basedOn w:val="a0"/>
    <w:rsid w:val="0064428D"/>
  </w:style>
  <w:style w:type="paragraph" w:customStyle="1" w:styleId="lststt">
    <w:name w:val="lststt"/>
    <w:basedOn w:val="a"/>
    <w:rsid w:val="006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rsid w:val="0064428D"/>
    <w:pPr>
      <w:widowControl w:val="0"/>
      <w:spacing w:before="460" w:after="0" w:line="300" w:lineRule="auto"/>
      <w:jc w:val="right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f1">
    <w:name w:val="header"/>
    <w:basedOn w:val="a"/>
    <w:link w:val="af2"/>
    <w:rsid w:val="006442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2">
    <w:name w:val="Верхній колонтитул Знак"/>
    <w:basedOn w:val="a0"/>
    <w:link w:val="af1"/>
    <w:rsid w:val="006442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qFormat/>
    <w:rsid w:val="0064428D"/>
    <w:rPr>
      <w:b/>
      <w:bCs/>
    </w:rPr>
  </w:style>
  <w:style w:type="character" w:customStyle="1" w:styleId="light">
    <w:name w:val="light"/>
    <w:basedOn w:val="a0"/>
    <w:rsid w:val="0064428D"/>
  </w:style>
  <w:style w:type="paragraph" w:styleId="33">
    <w:name w:val="Body Text Indent 3"/>
    <w:basedOn w:val="a"/>
    <w:link w:val="34"/>
    <w:rsid w:val="0064428D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0"/>
    <w:link w:val="33"/>
    <w:rsid w:val="0064428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4">
    <w:name w:val="Balloon Text"/>
    <w:basedOn w:val="a"/>
    <w:link w:val="af5"/>
    <w:rsid w:val="0064428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5">
    <w:name w:val="Текст у виносці Знак"/>
    <w:basedOn w:val="a0"/>
    <w:link w:val="af4"/>
    <w:rsid w:val="0064428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FontStyle46">
    <w:name w:val="Font Style46"/>
    <w:uiPriority w:val="99"/>
    <w:rsid w:val="0064428D"/>
    <w:rPr>
      <w:rFonts w:ascii="Franklin Gothic Medium Cond" w:hAnsi="Franklin Gothic Medium Cond" w:cs="Franklin Gothic Medium Cond"/>
      <w:sz w:val="8"/>
      <w:szCs w:val="8"/>
    </w:rPr>
  </w:style>
  <w:style w:type="paragraph" w:customStyle="1" w:styleId="Default">
    <w:name w:val="Default"/>
    <w:rsid w:val="00644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6">
    <w:name w:val="Інше_"/>
    <w:link w:val="af7"/>
    <w:rsid w:val="0064428D"/>
    <w:rPr>
      <w:lang w:eastAsia="uk-UA"/>
    </w:rPr>
  </w:style>
  <w:style w:type="paragraph" w:customStyle="1" w:styleId="af7">
    <w:name w:val="Інше"/>
    <w:basedOn w:val="a"/>
    <w:link w:val="af6"/>
    <w:rsid w:val="0064428D"/>
    <w:pPr>
      <w:widowControl w:val="0"/>
      <w:spacing w:after="0" w:line="240" w:lineRule="auto"/>
    </w:pPr>
    <w:rPr>
      <w:lang w:eastAsia="uk-UA"/>
    </w:rPr>
  </w:style>
  <w:style w:type="character" w:customStyle="1" w:styleId="rvts44">
    <w:name w:val="rvts44"/>
    <w:basedOn w:val="a0"/>
    <w:rsid w:val="0064428D"/>
  </w:style>
  <w:style w:type="paragraph" w:customStyle="1" w:styleId="Paragraph1">
    <w:name w:val="Paragraph1"/>
    <w:basedOn w:val="a"/>
    <w:rsid w:val="0064428D"/>
    <w:pPr>
      <w:pBdr>
        <w:top w:val="single" w:sz="32" w:space="0" w:color="auto"/>
      </w:pBdr>
      <w:tabs>
        <w:tab w:val="left" w:pos="2200"/>
      </w:tabs>
      <w:autoSpaceDE w:val="0"/>
      <w:autoSpaceDN w:val="0"/>
      <w:adjustRightInd w:val="0"/>
      <w:spacing w:after="0" w:line="280" w:lineRule="atLeast"/>
      <w:ind w:left="1720" w:hanging="500"/>
      <w:textAlignment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RozdNom">
    <w:name w:val="RozdNom"/>
    <w:basedOn w:val="a"/>
    <w:rsid w:val="0064428D"/>
    <w:pPr>
      <w:autoSpaceDE w:val="0"/>
      <w:autoSpaceDN w:val="0"/>
      <w:adjustRightInd w:val="0"/>
      <w:spacing w:after="0" w:line="600" w:lineRule="atLeast"/>
      <w:textAlignment w:val="center"/>
    </w:pPr>
    <w:rPr>
      <w:rFonts w:ascii="Times New Roman" w:eastAsia="Calibri" w:hAnsi="Times New Roman" w:cs="Times New Roman"/>
      <w:b/>
      <w:bCs/>
      <w:color w:val="000000"/>
      <w:sz w:val="40"/>
      <w:szCs w:val="40"/>
      <w:lang w:val="en-US"/>
    </w:rPr>
  </w:style>
  <w:style w:type="paragraph" w:customStyle="1" w:styleId="Glavanom">
    <w:name w:val="Glava nom"/>
    <w:basedOn w:val="a"/>
    <w:rsid w:val="0064428D"/>
    <w:pPr>
      <w:pBdr>
        <w:top w:val="single" w:sz="48" w:space="0" w:color="auto"/>
      </w:pBdr>
      <w:autoSpaceDE w:val="0"/>
      <w:autoSpaceDN w:val="0"/>
      <w:adjustRightInd w:val="0"/>
      <w:spacing w:after="0" w:line="480" w:lineRule="atLeast"/>
      <w:textAlignment w:val="center"/>
    </w:pPr>
    <w:rPr>
      <w:rFonts w:ascii="Times New Roman" w:eastAsia="Calibri" w:hAnsi="Times New Roman" w:cs="Times New Roman"/>
      <w:b/>
      <w:bCs/>
      <w:color w:val="000000"/>
      <w:sz w:val="36"/>
      <w:szCs w:val="36"/>
      <w:lang w:val="en-US"/>
    </w:rPr>
  </w:style>
  <w:style w:type="paragraph" w:customStyle="1" w:styleId="ZMISTT1">
    <w:name w:val="ZMISTT_1"/>
    <w:basedOn w:val="Glavanom"/>
    <w:rsid w:val="0064428D"/>
    <w:pPr>
      <w:pBdr>
        <w:top w:val="none" w:sz="0" w:space="0" w:color="auto"/>
      </w:pBdr>
      <w:tabs>
        <w:tab w:val="right" w:leader="dot" w:pos="6480"/>
      </w:tabs>
      <w:spacing w:line="210" w:lineRule="atLeast"/>
      <w:ind w:left="36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.gov.u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mu" TargetMode="External"/><Relationship Id="rId12" Type="http://schemas.openxmlformats.org/officeDocument/2006/relationships/hyperlink" Target="http://www.catalogue.nplu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esident.gov.ua" TargetMode="External"/><Relationship Id="rId11" Type="http://schemas.openxmlformats.org/officeDocument/2006/relationships/hyperlink" Target="http://www.nbuv" TargetMode="External"/><Relationship Id="rId5" Type="http://schemas.openxmlformats.org/officeDocument/2006/relationships/hyperlink" Target="http://www.portal.rada.gov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yestr.cou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reme.court.gov.u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15089</Words>
  <Characters>8602</Characters>
  <Application>Microsoft Office Word</Application>
  <DocSecurity>0</DocSecurity>
  <Lines>71</Lines>
  <Paragraphs>47</Paragraphs>
  <ScaleCrop>false</ScaleCrop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1</cp:revision>
  <dcterms:created xsi:type="dcterms:W3CDTF">2021-09-08T13:28:00Z</dcterms:created>
  <dcterms:modified xsi:type="dcterms:W3CDTF">2021-09-08T13:29:00Z</dcterms:modified>
</cp:coreProperties>
</file>