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pkds6dk9qx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«Реконструкція зуба із застосуванням скловолоконного штифта»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«Реконструкція зуба із застосуванням скловолоконного штифта»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реконструкції зуба із застосуванням скловолоконного штифта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 за допомогою кофердаму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щипці для накладання клампів, комплект клампів, флоси, латексна хустина, трафарет для позначення зубного ряду, рамка для фіксації кофердаму, водопоглинаюча серветка,бори,моделювальна гладилка зі штопфером,римери.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Препарування та формування порожнини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борів студент препарує порожнтину та усуває каріозний процес, використовуючи карієс-маркер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Часткове видалення обтураційного матеріалу з кореневого каналу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Студент, використовуючи римери, проводить видалення обтураційного матеріалу з кореневого каналу на 2/3 його довжини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Примірка скловолоконного штифта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здійснює примірку штифта, орієнтуючись на останній розмір римера, який використовував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Кислотне протравлення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травильного гелю обробляє порожнину та кореневий канал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адгезивного протоколу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наносить праймер та адгезив світлового твердіння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Фіксація штифта та відновлення анатомії зуба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здійснює  фіксацію штифта на композитний цемент, а потім пошарово накладає композит (техніка інкрементів) та моделює коронку зуба.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Фінальна обробка реставрації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полірувальних борів студент препарує надлишок реставраційного матеріалу, перевіряючи оклюзійні контакти.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Шліфування реставрації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полірувальних дисків та резинок студент здійснює фінішну обробку реставрації.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Інформування пацієнта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надав поради щодо догляду за реставрацією.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66ktxegrkj4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F167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F167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F167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F167A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F167A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F167A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F167A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F167AD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F167AD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F167AD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F167AD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F167AD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F167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F167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F167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F167AD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F167AD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F167AD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F167A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F167AD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F167AD"/>
    <w:rPr>
      <w:b w:val="1"/>
      <w:bCs w:val="1"/>
      <w:smallCaps w:val="1"/>
      <w:color w:val="2f5496" w:themeColor="accent1" w:themeShade="0000BF"/>
      <w:spacing w:val="5"/>
    </w:rPr>
  </w:style>
  <w:style w:type="character" w:styleId="Bold" w:customStyle="1">
    <w:name w:val="Bold"/>
    <w:uiPriority w:val="99"/>
    <w:rsid w:val="00F167AD"/>
    <w:rPr>
      <w:b w:val="1"/>
      <w:u w:val="none"/>
      <w:vertAlign w:val="baseline"/>
    </w:rPr>
  </w:style>
  <w:style w:type="paragraph" w:styleId="ac" w:customStyle="1">
    <w:name w:val="[Без стиля]"/>
    <w:rsid w:val="00F167A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F167AD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F167AD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jmInLE24lFcKhq2FlkFDuzBtg==">CgMxLjAyDmgucXBrZHM2ZGs5cXgzMg5oLjY2a3R4ZWdya2o0bzgAciExcjc0bFlFQTNPc254dnl3VkR5T0diM3dmTm1Kcnh1S0Q=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2025-04-13T16:13:00Z</dcterms:created>
  <dc:creator>Яночка Богдан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a5d8fae5dc32775191b998396398652c3e1973e9dd91f36fc041e10985e73930</vt:lpwstr>
  </property>
</Properties>
</file>