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«ЗАТВЕРДЖЕНО»</w:t>
        <w:tab/>
        <w:t xml:space="preserve"> «ЗАТВЕРДЖЕНО»</w:t>
      </w:r>
    </w:p>
    <w:p w:rsidR="00000000" w:rsidDel="00000000" w:rsidP="00000000" w:rsidRDefault="00000000" w:rsidRPr="00000000" w14:paraId="00000003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засіданні кафедри                                                       на засіданні Вченої ради</w:t>
      </w:r>
    </w:p>
    <w:p w:rsidR="00000000" w:rsidDel="00000000" w:rsidP="00000000" w:rsidRDefault="00000000" w:rsidRPr="00000000" w14:paraId="00000004">
      <w:pPr>
        <w:tabs>
          <w:tab w:val="left" w:leader="none" w:pos="5580"/>
        </w:tabs>
        <w:spacing w:after="0" w:lineRule="auto"/>
        <w:ind w:left="180" w:right="2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терапевтичної стоматології</w:t>
        <w:tab/>
        <w:t xml:space="preserve">ННІСЛМ</w:t>
      </w:r>
    </w:p>
    <w:p w:rsidR="00000000" w:rsidDel="00000000" w:rsidP="00000000" w:rsidRDefault="00000000" w:rsidRPr="00000000" w14:paraId="00000005">
      <w:pPr>
        <w:tabs>
          <w:tab w:val="left" w:leader="none" w:pos="5400"/>
        </w:tabs>
        <w:spacing w:after="0" w:lineRule="auto"/>
        <w:ind w:left="180" w:right="-7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Протокол № 10 від 20 березня 2026 р.</w:t>
        <w:tab/>
        <w:t xml:space="preserve">   Протокол № 4 від 30 березня 2026 р.                                                                                                                                                             Завідувач кафедри</w:t>
        <w:tab/>
        <w:t xml:space="preserve">   Голова Вченої ради ННІСЛМ</w:t>
      </w:r>
    </w:p>
    <w:p w:rsidR="00000000" w:rsidDel="00000000" w:rsidP="00000000" w:rsidRDefault="00000000" w:rsidRPr="00000000" w14:paraId="00000006">
      <w:pPr>
        <w:tabs>
          <w:tab w:val="left" w:leader="none" w:pos="5580"/>
        </w:tabs>
        <w:spacing w:after="0" w:lineRule="auto"/>
        <w:ind w:left="180" w:right="17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к.мед.н., доц. Слинько Ю.О.                                         д.мед.н., проф. Костенко Є.Я. </w:t>
      </w:r>
    </w:p>
    <w:p w:rsidR="00000000" w:rsidDel="00000000" w:rsidP="00000000" w:rsidRDefault="00000000" w:rsidRPr="00000000" w14:paraId="00000007">
      <w:pPr>
        <w:tabs>
          <w:tab w:val="left" w:leader="none" w:pos="5580"/>
        </w:tabs>
        <w:spacing w:after="0" w:lineRule="auto"/>
        <w:ind w:left="180" w:right="89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_______________________</w:t>
        <w:tab/>
        <w:t xml:space="preserve">_______________________</w:t>
      </w:r>
    </w:p>
    <w:p w:rsidR="00000000" w:rsidDel="00000000" w:rsidP="00000000" w:rsidRDefault="00000000" w:rsidRPr="00000000" w14:paraId="00000008">
      <w:pPr>
        <w:spacing w:after="17" w:lineRule="auto"/>
        <w:ind w:lef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ДВНЗ «УЖГОРОДСЬКИЙ НАЦІОНАЛЬНИЙ УНІВЕРСИТЕТ»</w:t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ff41mzchbc5f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НАВЧАЛЬНО-НАУКОВИЙ ІНСТИТУТ СТОМАТОЛОГІЇ ТА ЛАБОРАТОРНОЇ МЕДИЦИНИ </w:t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ГАЛУЗІ ЗНАНЬ 22 – ОХОРОНА ЗДОРОВ’Я </w:t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(І -ОХОРОНА ЗДОРОВ’Я ТА СОЦІАЛЬНЕ ЗАБЕЗПЕЧЕННЯ) </w:t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СПЕЦІАЛЬНОСТІ 221 – СТОМАТОЛОГІЯ (І1)</w:t>
      </w:r>
    </w:p>
    <w:p w:rsidR="00000000" w:rsidDel="00000000" w:rsidP="00000000" w:rsidRDefault="00000000" w:rsidRPr="00000000" w14:paraId="00000011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НАЗВА СТАНЦІЇ – «ТЕРАПЕВТИЧНА СТОМАТОЛОГІЯ 2»</w:t>
      </w:r>
    </w:p>
    <w:p w:rsidR="00000000" w:rsidDel="00000000" w:rsidP="00000000" w:rsidRDefault="00000000" w:rsidRPr="00000000" w14:paraId="0000001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АЛГОРИТМ РОБОТИ ПРИ ВИКОНАННІ КЛІНІЧНОГО СЦЕНАРІЮ</w:t>
      </w:r>
    </w:p>
    <w:p w:rsidR="00000000" w:rsidDel="00000000" w:rsidP="00000000" w:rsidRDefault="00000000" w:rsidRPr="00000000" w14:paraId="0000001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«Препарування каріозної порожнини І класу за Блеком в ході діагностики та лікування глибокого карієсу 26 зуба з використанням ізолюючої прокладки»</w:t>
      </w:r>
    </w:p>
    <w:p w:rsidR="00000000" w:rsidDel="00000000" w:rsidP="00000000" w:rsidRDefault="00000000" w:rsidRPr="00000000" w14:paraId="00000016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:rsidR="00000000" w:rsidDel="00000000" w:rsidP="00000000" w:rsidRDefault="00000000" w:rsidRPr="00000000" w14:paraId="00000018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Зміст клінічного сценарію, котрий стосується виконання практичної навички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«Препарування каріозної порожнини І класу за Блеком в ході діагностики та лікування глибокого карієсу 26 зуба з використанням ізолюючої прокладки»,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8"/>
          <w:szCs w:val="28"/>
          <w:rtl w:val="0"/>
        </w:rPr>
        <w:t xml:space="preserve">Алгоритм роботи на станції при лікуванні глибокого карієсу 26 зуба І класу за Блеком з використанням ізолюючої прокладки</w:t>
      </w:r>
    </w:p>
    <w:tbl>
      <w:tblPr>
        <w:tblStyle w:val="Table1"/>
        <w:tblW w:w="946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7"/>
        <w:gridCol w:w="4730"/>
        <w:gridCol w:w="3827"/>
        <w:tblGridChange w:id="0">
          <w:tblGrid>
            <w:gridCol w:w="907"/>
            <w:gridCol w:w="4730"/>
            <w:gridCol w:w="3827"/>
          </w:tblGrid>
        </w:tblGridChange>
      </w:tblGrid>
      <w:tr>
        <w:trPr>
          <w:cantSplit w:val="0"/>
          <w:trHeight w:val="10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Послідовність дій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Критерії контролю правильного виконання</w:t>
            </w:r>
          </w:p>
        </w:tc>
      </w:tr>
      <w:tr>
        <w:trPr>
          <w:cantSplit w:val="0"/>
          <w:trHeight w:val="323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Привітатися, назвати (ідентифікувати) себе</w:t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 привітався та ідентифікував себе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Отримати завдання, уважно прочитати його</w:t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 обрав завдання та уважно його прочитав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Помити і висушити руки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Руки помито і висушено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Одягти медичну маску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Медичну маску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Одягти медичні рукавички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Медичні рукавички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Обробити руки антисептиком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Руки оброблено антисептиком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Розпочати комунікацію з пацієнтом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 ініціював процес комунікації, дотримуючись коректної форми діалогу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Провести клінічний огляд, визначити необхідність проведення додаткових обстежень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Визначити тактику ведення та лікування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Провести технічні навички у відповідності із завданням, наведеним у клінічному сценарії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 коректно проводить технічні навички у відповідності до цільового практичного завдання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11.1.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Ізоляція робочого поля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Студентом обрано із доступного набору матеріально-технічного забезпечення та підготовлено до подальшої роботи наступний набір інструментів: щипці для накладання клампів, комплект клампів, латексна хустина, трафарет для позначення зубного ряду, рамка для фіксації кофердаму. Студент обрав ізоляцію 25,26,27 зубів для кращого доступу з використанням клампа № 201. Студент фіксує кламп на зуб за допомогою щипців, не травмуючи ясна та натягує латексну хустинку.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11.2.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Знеболення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Студентом обрано аплікаційну анестезію та провідникову анестезію в ділянці 26 зуба.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11.3.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Препарування каріозної порожнини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 проводить етап некректомії комоподібними рухами. По дну каріозної порожнини студент працює  екскаватором забираючи верхні шари дентину та механічним бором на низьких обертах для уникнення ускладнень.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11.4.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Формування порожнини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 створює ящикоподібної  форми порожнину, яка була б спроможна довгий час утримувати пломбувальний матеріал і зберігати пломбу.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11.5.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Обробка порожнини зуба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Наступним етапом студент бере ватну кульку рясно змочену розчином антисептика і проводить аплікацію по дну сформованої порожнини зуба. Студент промиває порожнину зуба водою та висушує її.</w:t>
            </w:r>
          </w:p>
        </w:tc>
      </w:tr>
      <w:tr>
        <w:trPr>
          <w:cantSplit w:val="0"/>
          <w:trHeight w:val="343" w:hRule="atLeast"/>
          <w:tblHeader w:val="0"/>
        </w:trPr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11.6.</w:t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Установка ізолюючої прокладки</w:t>
            </w:r>
          </w:p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 в промиту та висушену порожнину зуба встановлює кальційвмісну ізолюючу прокладку, яка буде сприяти ремінералізації та утворенню дентину.</w:t>
            </w:r>
          </w:p>
        </w:tc>
      </w:tr>
      <w:tr>
        <w:trPr>
          <w:cantSplit w:val="0"/>
          <w:trHeight w:val="3863" w:hRule="atLeast"/>
          <w:tblHeader w:val="0"/>
        </w:trPr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11.7.</w:t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Адгезивна підготовка 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Наступним етапом студент проводить протравлювання 35% розчином ортофосфорної кислоти (15 секунд емаль/10 секунд дентин) ретельно змиває та висушує до матовості. Далі наносить адгезив (бонд) роздуває пустером і засвічує фотополімерною лампою 15 сек.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11.8.</w:t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Пломбування порожнини зуба</w:t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Студентом обрано композитний матеріал  світлового твердіння. Пошарове внесення студентом композитного матеріалу (2 мм), полімеризація кожного шару 20-40 секунд залежно від лампи. Формування форми відповідно до анатомії (опуклість, гладкість).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11.9.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Зняття кофердаму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 акуратно знімає кофердам та кламп, щоб не зруйнувати краї пломби.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11.10</w:t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Фінішна обробка та полірування пломби</w:t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Студент використовує полірувальні диски, гумки та пасти. Особливу увагу приділяє анатомічним горбикам пломби (плавний перехід до емалі). Перевіряє пальпацією та візуально пломбу на гладкість, блиск та відсутність пор.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11.11</w:t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Перевірка оклюзії</w:t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Для виключення суперконтакту студент використовує артикуляційний папір (надлишок пломби полірує до тих пір, доки папір не перестане відбиватися)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11.12</w:t>
            </w:r>
          </w:p>
          <w:p w:rsidR="00000000" w:rsidDel="00000000" w:rsidP="00000000" w:rsidRDefault="00000000" w:rsidRPr="00000000" w14:paraId="0000006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>
        <w:trPr>
          <w:cantSplit w:val="0"/>
          <w:trHeight w:val="180" w:hRule="atLeast"/>
          <w:tblHeader w:val="0"/>
        </w:trPr>
        <w:tc>
          <w:tcPr/>
          <w:p w:rsidR="00000000" w:rsidDel="00000000" w:rsidP="00000000" w:rsidRDefault="00000000" w:rsidRPr="00000000" w14:paraId="0000006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12.</w:t>
            </w:r>
          </w:p>
        </w:tc>
        <w:tc>
          <w:tcPr/>
          <w:p w:rsidR="00000000" w:rsidDel="00000000" w:rsidP="00000000" w:rsidRDefault="00000000" w:rsidRPr="00000000" w14:paraId="0000006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Утилізація засобів індивідуального захисту (ЗІЗ)</w:t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Зняти маску та рукавички </w:t>
            </w:r>
          </w:p>
        </w:tc>
      </w:tr>
    </w:tbl>
    <w:p w:rsidR="00000000" w:rsidDel="00000000" w:rsidP="00000000" w:rsidRDefault="00000000" w:rsidRPr="00000000" w14:paraId="0000006A">
      <w:pPr>
        <w:spacing w:after="0" w:line="240" w:lineRule="auto"/>
        <w:ind w:left="1985" w:hanging="1985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tabs>
          <w:tab w:val="left" w:leader="none" w:pos="2712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ТРИВАЛІСТЬ РОБОТИ НА СТАНЦІЇ</w:t>
      </w:r>
    </w:p>
    <w:p w:rsidR="00000000" w:rsidDel="00000000" w:rsidP="00000000" w:rsidRDefault="00000000" w:rsidRPr="00000000" w14:paraId="0000006D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             </w:t>
      </w:r>
    </w:p>
    <w:tbl>
      <w:tblPr>
        <w:tblStyle w:val="Table2"/>
        <w:tblW w:w="9345.0" w:type="dxa"/>
        <w:jc w:val="left"/>
        <w:tblInd w:w="108.0" w:type="dxa"/>
        <w:tblLayout w:type="fixed"/>
        <w:tblLook w:val="0000"/>
      </w:tblPr>
      <w:tblGrid>
        <w:gridCol w:w="3586"/>
        <w:gridCol w:w="1344"/>
        <w:gridCol w:w="1958"/>
        <w:gridCol w:w="1367"/>
        <w:gridCol w:w="1090"/>
        <w:tblGridChange w:id="0">
          <w:tblGrid>
            <w:gridCol w:w="3586"/>
            <w:gridCol w:w="1344"/>
            <w:gridCol w:w="1958"/>
            <w:gridCol w:w="1367"/>
            <w:gridCol w:w="1090"/>
          </w:tblGrid>
        </w:tblGridChange>
      </w:tblGrid>
      <w:tr>
        <w:trPr>
          <w:cantSplit w:val="0"/>
          <w:trHeight w:val="7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Ідентифікація студента, отримання ним завдання та ознайомлення з ним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Виконання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Попередження</w:t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про час</w:t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(екзаменатор)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Перехід на наступну станцію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Всього</w:t>
            </w:r>
          </w:p>
        </w:tc>
      </w:tr>
      <w:tr>
        <w:trPr>
          <w:cantSplit w:val="0"/>
          <w:trHeight w:val="9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 1-2 хв.</w:t>
            </w:r>
          </w:p>
          <w:p w:rsidR="00000000" w:rsidDel="00000000" w:rsidP="00000000" w:rsidRDefault="00000000" w:rsidRPr="00000000" w14:paraId="000000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6-8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За 2 хв до закінчення часу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10 хв</w:t>
            </w:r>
          </w:p>
        </w:tc>
      </w:tr>
    </w:tbl>
    <w:p w:rsidR="00000000" w:rsidDel="00000000" w:rsidP="00000000" w:rsidRDefault="00000000" w:rsidRPr="00000000" w14:paraId="0000007B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79.999999999998" w:type="dxa"/>
        <w:jc w:val="center"/>
        <w:tblLayout w:type="fixed"/>
        <w:tblLook w:val="0000"/>
      </w:tblPr>
      <w:tblGrid>
        <w:gridCol w:w="553"/>
        <w:gridCol w:w="6673"/>
        <w:gridCol w:w="2054"/>
        <w:tblGridChange w:id="0">
          <w:tblGrid>
            <w:gridCol w:w="553"/>
            <w:gridCol w:w="6673"/>
            <w:gridCol w:w="2054"/>
          </w:tblGrid>
        </w:tblGridChange>
      </w:tblGrid>
      <w:tr>
        <w:trPr>
          <w:cantSplit w:val="0"/>
          <w:trHeight w:val="6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pacing w:after="0" w:line="240" w:lineRule="auto"/>
              <w:ind w:left="187" w:firstLine="0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№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after="0" w:line="240" w:lineRule="auto"/>
              <w:ind w:right="109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з/п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Складові виконання клінічного кейсу, що оцінюється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pacing w:after="0" w:line="240" w:lineRule="auto"/>
              <w:ind w:right="112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Тривалість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Комунікація з пацієнтом (оцінка комунікативних навичок)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Збір скарг та анамнезу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Об’єктивне обстеження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Діагностика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Визначення тактики ведення та лікування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Технічні навички (маніпуляції)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1 хвилина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Профілактика та пропаганда здорового способу життя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Інше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1 хвилина</w:t>
            </w:r>
          </w:p>
        </w:tc>
      </w:tr>
    </w:tbl>
    <w:p w:rsidR="00000000" w:rsidDel="00000000" w:rsidP="00000000" w:rsidRDefault="00000000" w:rsidRPr="00000000" w14:paraId="0000009C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mnau5wnu7y2o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Компетентності, які оцінюються згідно матриці ОСП(К)І.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КОМУНІКАТИВНІ НАВИЧКИ. 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ЗБІР СКАРГ ТА АНАМНЕЗУ: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ОБ’ЄКТИВНЕ ОБСТЕЖЕННЯ: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ТЕХНІЧНІ НАВИЧКИ (МАНІПУЛЯЦІЇ):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ДІАГНОСТИКА: 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ВИЗНАЧЕННЯ ТАКТИКИ ВЕДЕННЯ ТА ЛІКУВАННЯ: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ПРОФІЛАКТИКА ТА ПРОПАГАНДА ЗДОРОВОГО СПОСОБУ ЖИТТЯ: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ІНШЕ: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дотримуватися вимог етики, біоетики та деонтології у своїй фаховій діяльності.</w:t>
      </w:r>
    </w:p>
    <w:p w:rsidR="00000000" w:rsidDel="00000000" w:rsidP="00000000" w:rsidRDefault="00000000" w:rsidRPr="00000000" w14:paraId="000000B0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after="0" w:line="240" w:lineRule="auto"/>
        <w:ind w:left="1985" w:hanging="1985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e75b5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e75b5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e75b5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e75b5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E83CEB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 w:val="1"/>
    <w:rsid w:val="00E83CEB"/>
    <w:rPr>
      <w:rFonts w:cstheme="majorBidi" w:eastAsiaTheme="majorEastAsia"/>
      <w:color w:val="2e74b5" w:themeColor="accent1" w:themeShade="0000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E83CEB"/>
    <w:rPr>
      <w:rFonts w:cstheme="majorBidi" w:eastAsiaTheme="majorEastAsia"/>
      <w:i w:val="1"/>
      <w:iCs w:val="1"/>
      <w:color w:val="2e74b5" w:themeColor="accent1" w:themeShade="0000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E83CEB"/>
    <w:rPr>
      <w:rFonts w:cstheme="majorBidi" w:eastAsiaTheme="majorEastAsia"/>
      <w:color w:val="2e74b5" w:themeColor="accent1" w:themeShade="0000BF"/>
    </w:rPr>
  </w:style>
  <w:style w:type="character" w:styleId="60" w:customStyle="1">
    <w:name w:val="Заголовок 6 Знак"/>
    <w:basedOn w:val="a0"/>
    <w:link w:val="6"/>
    <w:uiPriority w:val="9"/>
    <w:semiHidden w:val="1"/>
    <w:rsid w:val="00E83CEB"/>
    <w:rPr>
      <w:rFonts w:cstheme="majorBidi" w:eastAsiaTheme="majorEastAsia"/>
      <w:i w:val="1"/>
      <w:iCs w:val="1"/>
      <w:color w:val="595959" w:themeColor="text1" w:themeTint="0000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E83CEB"/>
    <w:rPr>
      <w:rFonts w:cstheme="majorBidi" w:eastAsiaTheme="majorEastAsia"/>
      <w:color w:val="595959" w:themeColor="text1" w:themeTint="0000A6"/>
    </w:rPr>
  </w:style>
  <w:style w:type="character" w:styleId="80" w:customStyle="1">
    <w:name w:val="Заголовок 8 Знак"/>
    <w:basedOn w:val="a0"/>
    <w:link w:val="8"/>
    <w:uiPriority w:val="9"/>
    <w:semiHidden w:val="1"/>
    <w:rsid w:val="00E83CEB"/>
    <w:rPr>
      <w:rFonts w:cstheme="majorBidi" w:eastAsiaTheme="majorEastAsia"/>
      <w:i w:val="1"/>
      <w:iCs w:val="1"/>
      <w:color w:val="272727" w:themeColor="text1" w:themeTint="0000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E83CEB"/>
    <w:rPr>
      <w:rFonts w:cstheme="majorBidi" w:eastAsiaTheme="majorEastAsia"/>
      <w:color w:val="272727" w:themeColor="text1" w:themeTint="0000D8"/>
    </w:rPr>
  </w:style>
  <w:style w:type="character" w:styleId="a4" w:customStyle="1">
    <w:name w:val="Назва Знак"/>
    <w:basedOn w:val="a0"/>
    <w:link w:val="a3"/>
    <w:rsid w:val="00E83CEB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Підзаголовок Знак"/>
    <w:basedOn w:val="a0"/>
    <w:link w:val="a5"/>
    <w:uiPriority w:val="11"/>
    <w:rsid w:val="00E83CEB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 w:val="1"/>
    <w:rsid w:val="00E83CEB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a8" w:customStyle="1">
    <w:name w:val="Цитата Знак"/>
    <w:basedOn w:val="a0"/>
    <w:link w:val="a7"/>
    <w:uiPriority w:val="29"/>
    <w:rsid w:val="00E83CEB"/>
    <w:rPr>
      <w:i w:val="1"/>
      <w:iCs w:val="1"/>
      <w:color w:val="404040" w:themeColor="text1" w:themeTint="0000BF"/>
    </w:rPr>
  </w:style>
  <w:style w:type="paragraph" w:styleId="a9">
    <w:name w:val="List Paragraph"/>
    <w:basedOn w:val="a"/>
    <w:uiPriority w:val="1"/>
    <w:qFormat w:val="1"/>
    <w:rsid w:val="00E83CEB"/>
    <w:pPr>
      <w:ind w:left="720"/>
      <w:contextualSpacing w:val="1"/>
    </w:pPr>
  </w:style>
  <w:style w:type="character" w:styleId="aa">
    <w:name w:val="Intense Emphasis"/>
    <w:basedOn w:val="a0"/>
    <w:uiPriority w:val="21"/>
    <w:qFormat w:val="1"/>
    <w:rsid w:val="00E83CEB"/>
    <w:rPr>
      <w:i w:val="1"/>
      <w:iCs w:val="1"/>
      <w:color w:val="2e74b5" w:themeColor="accent1" w:themeShade="0000BF"/>
    </w:rPr>
  </w:style>
  <w:style w:type="paragraph" w:styleId="ab">
    <w:name w:val="Intense Quote"/>
    <w:basedOn w:val="a"/>
    <w:next w:val="a"/>
    <w:link w:val="ac"/>
    <w:uiPriority w:val="30"/>
    <w:qFormat w:val="1"/>
    <w:rsid w:val="00E83CEB"/>
    <w:pPr>
      <w:pBdr>
        <w:top w:color="2e74b5" w:space="10" w:sz="4" w:themeColor="accent1" w:themeShade="0000BF" w:val="single"/>
        <w:bottom w:color="2e74b5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e74b5" w:themeColor="accent1" w:themeShade="0000BF"/>
    </w:rPr>
  </w:style>
  <w:style w:type="character" w:styleId="ac" w:customStyle="1">
    <w:name w:val="Насичена цитата Знак"/>
    <w:basedOn w:val="a0"/>
    <w:link w:val="ab"/>
    <w:uiPriority w:val="30"/>
    <w:rsid w:val="00E83CEB"/>
    <w:rPr>
      <w:i w:val="1"/>
      <w:iCs w:val="1"/>
      <w:color w:val="2e74b5" w:themeColor="accent1" w:themeShade="0000BF"/>
    </w:rPr>
  </w:style>
  <w:style w:type="character" w:styleId="ad">
    <w:name w:val="Intense Reference"/>
    <w:basedOn w:val="a0"/>
    <w:uiPriority w:val="32"/>
    <w:qFormat w:val="1"/>
    <w:rsid w:val="00E83CEB"/>
    <w:rPr>
      <w:b w:val="1"/>
      <w:bCs w:val="1"/>
      <w:smallCaps w:val="1"/>
      <w:color w:val="2e74b5" w:themeColor="accent1" w:themeShade="0000BF"/>
      <w:spacing w:val="5"/>
    </w:rPr>
  </w:style>
  <w:style w:type="character" w:styleId="Bold" w:customStyle="1">
    <w:name w:val="Bold"/>
    <w:uiPriority w:val="99"/>
    <w:rsid w:val="0086680F"/>
    <w:rPr>
      <w:b w:val="1"/>
      <w:u w:val="none"/>
      <w:vertAlign w:val="baseline"/>
    </w:rPr>
  </w:style>
  <w:style w:type="paragraph" w:styleId="ae" w:customStyle="1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cs="Times New Roman" w:hAnsi="Times New Roman" w:eastAsiaTheme="minorEastAsia"/>
      <w:color w:val="000000"/>
      <w:kern w:val="0"/>
      <w:sz w:val="24"/>
      <w:szCs w:val="24"/>
      <w:lang w:eastAsia="uk-UA" w:val="en-US"/>
    </w:rPr>
  </w:style>
  <w:style w:type="paragraph" w:styleId="Ch6" w:customStyle="1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before="57" w:line="257" w:lineRule="auto"/>
      <w:ind w:firstLine="283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Ch60" w:customStyle="1">
    <w:name w:val="Заголовок Додатка (Ch_6 Міністерства)"/>
    <w:basedOn w:val="a"/>
    <w:uiPriority w:val="99"/>
    <w:rsid w:val="00662665"/>
    <w:pPr>
      <w:keepNext w:val="1"/>
      <w:keepLines w:val="1"/>
      <w:widowControl w:val="0"/>
      <w:tabs>
        <w:tab w:val="right" w:pos="7710"/>
      </w:tabs>
      <w:suppressAutoHyphens w:val="1"/>
      <w:autoSpaceDE w:val="0"/>
      <w:autoSpaceDN w:val="0"/>
      <w:adjustRightInd w:val="0"/>
      <w:spacing w:after="113" w:before="283" w:line="257" w:lineRule="auto"/>
      <w:jc w:val="center"/>
      <w:textAlignment w:val="center"/>
    </w:pPr>
    <w:rPr>
      <w:rFonts w:ascii="Pragmatica Bold" w:cs="Pragmatica Bold" w:hAnsi="Pragmatica Bold" w:eastAsiaTheme="minorEastAsia"/>
      <w:b w:val="1"/>
      <w:bCs w:val="1"/>
      <w:color w:val="000000"/>
      <w:w w:val="90"/>
      <w:sz w:val="19"/>
      <w:szCs w:val="19"/>
      <w:lang w:eastAsia="uk-UA" w:val="uk-UA"/>
    </w:rPr>
  </w:style>
  <w:style w:type="paragraph" w:styleId="Ch61" w:customStyle="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after="0" w:before="57" w:line="257" w:lineRule="auto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StrokeCh6" w:customStyle="1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cs="Pragmatica Book" w:hAnsi="Pragmatica Book"/>
      <w:w w:val="90"/>
      <w:sz w:val="14"/>
      <w:szCs w:val="14"/>
      <w:lang w:val="uk-UA"/>
    </w:rPr>
  </w:style>
  <w:style w:type="paragraph" w:styleId="TableshapkaTABL" w:customStyle="1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 w:val="1"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cs="Pragmatica Book" w:hAnsi="Pragmatica Book" w:eastAsiaTheme="minorEastAsia"/>
      <w:color w:val="000000"/>
      <w:w w:val="90"/>
      <w:sz w:val="15"/>
      <w:szCs w:val="15"/>
      <w:lang w:eastAsia="uk-UA" w:val="uk-UA"/>
    </w:rPr>
  </w:style>
  <w:style w:type="character" w:styleId="af">
    <w:name w:val="Hyperlink"/>
    <w:uiPriority w:val="99"/>
    <w:unhideWhenUsed w:val="1"/>
    <w:rsid w:val="00662665"/>
    <w:rPr>
      <w:color w:val="0000ff"/>
      <w:u w:val="single"/>
    </w:rPr>
  </w:style>
  <w:style w:type="paragraph" w:styleId="af0">
    <w:name w:val="Normal (Web)"/>
    <w:basedOn w:val="a"/>
    <w:uiPriority w:val="99"/>
    <w:unhideWhenUsed w:val="1"/>
    <w:rsid w:val="00FC45AE"/>
    <w:pPr>
      <w:spacing w:after="100" w:afterAutospacing="1" w:before="100" w:before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42.0" w:type="dxa"/>
        <w:bottom w:w="0.0" w:type="dxa"/>
        <w:right w:w="4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3w8wRETlu6c+l4bQ2hSl0unShQ==">CgMxLjAyDmguZmY0MW16Y2hiYzVmMg5oLm1uYXU1d251N3kybzgAciExbTRnemIyaDh1Rmdxa01vQjNWMjA5NDc2eWpXVjd5X3Y=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2026-03-25T09:40:00Z</dcterms:created>
  <dc:creator>Myroslav Goncharuk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632e9dade04edbe60fd58114267653dae158e383f7242f9aaf06497fe305b4e6</vt:lpwstr>
  </property>
</Properties>
</file>