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9B" w:rsidRPr="001709DD" w:rsidRDefault="007E479B" w:rsidP="007E479B">
      <w:pPr>
        <w:ind w:left="7788"/>
        <w:jc w:val="right"/>
        <w:rPr>
          <w:rFonts w:ascii="Times New Roman" w:hAnsi="Times New Roman" w:cs="Times New Roman"/>
          <w:b/>
          <w:color w:val="4472C4"/>
          <w:sz w:val="28"/>
          <w:szCs w:val="28"/>
        </w:rPr>
      </w:pPr>
      <w:r w:rsidRPr="001709DD">
        <w:rPr>
          <w:rFonts w:ascii="Times New Roman" w:hAnsi="Times New Roman" w:cs="Times New Roman"/>
          <w:b/>
          <w:color w:val="4472C4"/>
          <w:sz w:val="28"/>
          <w:szCs w:val="28"/>
        </w:rPr>
        <w:t>ПРОЄКТ</w:t>
      </w:r>
    </w:p>
    <w:p w:rsidR="007E479B" w:rsidRDefault="007E479B" w:rsidP="007E479B">
      <w:pPr>
        <w:pBdr>
          <w:top w:val="nil"/>
          <w:left w:val="nil"/>
          <w:bottom w:val="nil"/>
          <w:right w:val="nil"/>
          <w:between w:val="nil"/>
        </w:pBdr>
        <w:ind w:firstLine="851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709DD">
        <w:rPr>
          <w:rFonts w:ascii="Times New Roman" w:hAnsi="Times New Roman" w:cs="Times New Roman"/>
          <w:b/>
          <w:color w:val="4472C4"/>
          <w:sz w:val="28"/>
          <w:szCs w:val="28"/>
        </w:rPr>
        <w:t xml:space="preserve">Пропозиції та зауваження до </w:t>
      </w:r>
      <w:proofErr w:type="spellStart"/>
      <w:r w:rsidRPr="001709DD">
        <w:rPr>
          <w:rFonts w:ascii="Times New Roman" w:hAnsi="Times New Roman" w:cs="Times New Roman"/>
          <w:b/>
          <w:color w:val="4472C4"/>
          <w:sz w:val="28"/>
          <w:szCs w:val="28"/>
        </w:rPr>
        <w:t>проєкту</w:t>
      </w:r>
      <w:proofErr w:type="spellEnd"/>
      <w:r w:rsidRPr="001709DD">
        <w:rPr>
          <w:rFonts w:ascii="Times New Roman" w:hAnsi="Times New Roman" w:cs="Times New Roman"/>
          <w:b/>
          <w:color w:val="4472C4"/>
          <w:sz w:val="28"/>
          <w:szCs w:val="28"/>
        </w:rPr>
        <w:t xml:space="preserve"> ОП надсилати на електронну адресу </w:t>
      </w:r>
      <w:hyperlink r:id="rId7" w:history="1">
        <w:r w:rsidRPr="002C75DB">
          <w:rPr>
            <w:rStyle w:val="af"/>
            <w:rFonts w:ascii="Times New Roman" w:hAnsi="Times New Roman" w:cs="Times New Roman"/>
            <w:b/>
            <w:sz w:val="28"/>
            <w:szCs w:val="28"/>
          </w:rPr>
          <w:t>kaf-journal@uzhnu.edu.ua</w:t>
        </w:r>
      </w:hyperlink>
    </w:p>
    <w:p w:rsidR="007E479B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МІНІСТЕРСТВО ОСВІТИ І НАУКИ УКРАЇНИ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ДЕРЖАВНИЙ ВИЩИЙ НАВЧАЛЬНИЙ ЗАКЛАД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«Ужгородський національний університет»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6379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ЗАТВЕРДЖЕНО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Протокол Вченої ради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ДВНЗ «Ужгородський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національний університет»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__________2025 р. №______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ОСВІТНЬО-ПРОФЕСІЙНА ПРОГРАМА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«Міжнародна журналістика»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першого (бакалаврського) рівня вищої освіти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спеціальністю С7 Журналістика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галузі знань С Соціальні науки,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журналістика, інформація та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міжнародні відносини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Кваліфікація: бакалавр журналістики                                                                                                                                                                                                     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УВЕДЕНО В ДІЮ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Наказ ректора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ДВНЗ «Ужгородський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національний університет»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5953" w:hanging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_________2025 р. №_________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 w:rsidP="007E479B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239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Ужгород 2025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АРКУШ ПОГОДЖЕННЯ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освітньо-професійної програми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«Міжнародна журналістика»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Ректор                                                                      Володимир СМОЛАНКА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Гарант освітньо-професійної програми                     Наталія ТОЛОЧКО        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Декан філологічного факультету                                         Юрій БІДЗІЛЯ                  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Керівник робочої групи                                                          Юрій БІДЗІЛЯ        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D07B8" w:rsidRDefault="007E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Начальник навчальної частини                                 Анатолій ШТИМАК                 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_______________20____ р.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ПЕРЕДМОВА</w:t>
      </w:r>
    </w:p>
    <w:p w:rsidR="00CD07B8" w:rsidRDefault="00CD07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CD07B8" w:rsidRDefault="00CD07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Освітньо-професійна програма «Міжнародна журналістика» розроблена відповідно до Закону України «Про вищу освіту», Національної рамки кваліфікацій, затвердженої постановою Кабінету Міністрів України від 25.06.2020 р. № 519 «Про внесення змін у додаток до постанови КМУ від 23.11.2011 р. № 1341», стандарту вищої освіти за спеціальністю 061 «Журналістика», затвердженого наказом Міністерства освіти і науки України від 20.06.2019 р. № 864, зі змінами відповідно до вимог наказу Міністерства освіти і науки України «Про внесення змін до деяких стандартів вищої освіти» № 842 від 13.06.2024 р., чинної редакції Національного класифікатора України – Класифікатор професій (ДК 003:2010 зі змінами № 10 від 25.10.2021 р., змінами № 13 від 16.01.2024 р.), професійного стандарту «Журналіст», затвердженого Національним агентством кваліфікацій України (НАК) і внесеного до Національного реєстру кваліфікацій № 84 від 22 січня 2025 року, наказу ректора ДВНЗ «УжНУ» №157/01-04 від 03.01.2025р. «Про внесення змін до наказу №74/01-04 від 31.10.2024р. “Про внесення змін до освітньо-професійних програм та навчальних планів підготовки здобувачів на першому (бакалаврському) рівні вищої освіти 2024 року вступу”». Програма підготовлена у співпраці з міжнародними експертами в галузі журналістики, залученими в межах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Erasmus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+ KA2 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Journalism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Democracy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Ukraine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Developing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Standards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Integrity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Professionalism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 (2018–2022 рр.), й відповідає першому (бакалаврському) рівню вищої освіти та шостому кваліфікаційному рівню за Національною рамкою кваліфікацій.</w:t>
      </w:r>
    </w:p>
    <w:p w:rsidR="00CD07B8" w:rsidRDefault="00CD07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CD07B8" w:rsidRDefault="00CD07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Розроблено робочою групою в складі: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Бідзіля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Юрій Михайлович, доктор наук із соціальних комунікацій, професор кафедри журналістики, декан філологічного факультету ДВНЗ «Ужгородський національний університет» (керівник робочої групи).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2. Толочко Наталія Валеріївна, кандидат наук із соціальних комунікацій, доцент кафедри журналістики ДВНЗ «Ужгородський національний університет» (гарант програми).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3. Тарасюк Володимир Юрійович, кандидат філологічних наук, доцент кафедри журналістики ДВНЗ «Ужгородський національний університет».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Соломін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Євген Олександрович, кандидат наук із соціальних комунікацій, доцент кафедри журналістики ДВНЗ «Ужгородський національний університет».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5. Шаркань Василь Васильович, кандидат філологічних наук, доцент кафедри журналістики ДВНЗ «Ужгородський національний університет».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Бреза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Ірина Юріївна, керівниця Ужгородського прес-клубу, кореспондентка «Радіо Свобода».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Моруга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Поліна Русланівна, студентка 3 курсу ОП «Міжнародна журналістика». 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Рецензії-відгуки зовнішніх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стейкхолдерів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: 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Жугай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Віталій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кандидат філологічних наук, доцент кафедри міжнародної журналістики факультету журналістики Київського столичного університету імені Бориса Грінченка.</w:t>
      </w:r>
    </w:p>
    <w:p w:rsidR="00CD07B8" w:rsidRPr="00070710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Дір Ігор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Надзвичайний і Повноважний Посол України, Заслужений юрист України</w:t>
      </w:r>
      <w:r w:rsidR="0007071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доцент кафедри міжнародного права юридичного факультету ДВНЗ «Ужгородський національний університет».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Шандор Федір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Надзвичайний і Повноважний Посол України в Угорщині.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Мещеряков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Віталій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голова Закарпатської обласної організації Національної спілки журналістів України.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Стойка Василь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менеджер філії АТ «НСТУ» «Закарпатська регіональна дирекція».</w:t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Frank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Michal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Journalist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Korzár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Prešov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podcaster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Slovakia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after="23" w:line="360" w:lineRule="auto"/>
        <w:ind w:left="1" w:right="-284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spacing w:after="23" w:line="36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:rsidR="00CD07B8" w:rsidRDefault="00CD07B8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Профіль освітньо-професійної програми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«Міжнародна журналістика»</w:t>
      </w: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першого (бакалаврського) рівня вищої освіти</w:t>
      </w: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спеціальністю С7 Журналістика</w:t>
      </w: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781"/>
        </w:tabs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галузі знань С Соціальні науки, журналістика, інформація та міжнародні відносини</w:t>
      </w:r>
    </w:p>
    <w:p w:rsidR="00CD07B8" w:rsidRDefault="00CD07B8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c"/>
        <w:tblW w:w="10490" w:type="dxa"/>
        <w:tblInd w:w="-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9"/>
        <w:gridCol w:w="7521"/>
      </w:tblGrid>
      <w:tr w:rsidR="00CD07B8">
        <w:trPr>
          <w:trHeight w:val="300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12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– Загальна інформація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Державний вищий навчальний заклад 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«Ужгородський національний університет»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Філологічний факультет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Ступінь вищої освіти: бакалавр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Освітня кваліфікація: бакалавр журналістики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журналістика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Рівень вищої освіти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Перший (бакалаврський) рівень вищої освіти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Тип диплома та обсяг освітньої програми в кредитах ЄКТС 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Диплом бакалавра, одиничний, 240 кредитів ЄКТС</w:t>
            </w:r>
          </w:p>
          <w:p w:rsidR="00CD07B8" w:rsidRDefault="00CD0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Розрахунковий строк виконання освітньої програми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роки для денної та заочної форм здобуття освіти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Форми здобуття освіти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Денна, заочна 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Наявність акредитації</w:t>
            </w:r>
          </w:p>
        </w:tc>
        <w:tc>
          <w:tcPr>
            <w:tcW w:w="7521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98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Акредитація освітньо-професійної програми первинна</w:t>
            </w:r>
          </w:p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98" w:hanging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Рівень/цикл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Національна рамка кваліфікацій України – 6 рівень НРК,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Європейська рамка кваліфікацій FQ-EHEA – перший цикл,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Європейська рамка кваліфікації навчання протягом життя EQF-LLL – 6 рівень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Передумови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Наявність повної загальної середньої освіти 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Умови вступу визначаються «Правилами прийому до Ужгородського національного університету», стандартом вищої освіти за спеціальністю С7 Журналістика для першого (бакалаврського) рівня вищої освіти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Мови викладання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Українська, англійська мови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чергового оновлення</w:t>
            </w:r>
          </w:p>
        </w:tc>
      </w:tr>
      <w:tr w:rsidR="00CD07B8">
        <w:trPr>
          <w:trHeight w:val="54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521" w:type="dxa"/>
          </w:tcPr>
          <w:p w:rsidR="00CD07B8" w:rsidRDefault="000707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>
              <w:r w:rsidR="007E47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https://www.uzhnu.edu.ua/uk/infocentre/16778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D07B8" w:rsidRDefault="00CD0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D07B8">
        <w:trPr>
          <w:trHeight w:val="178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 – Мета освітньої програми</w:t>
            </w:r>
          </w:p>
        </w:tc>
      </w:tr>
      <w:tr w:rsidR="00CD07B8">
        <w:trPr>
          <w:trHeight w:val="540"/>
        </w:trPr>
        <w:tc>
          <w:tcPr>
            <w:tcW w:w="10490" w:type="dxa"/>
            <w:gridSpan w:val="2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Метою освітньо-професійної програми «Міжнародна журналістика» є підготовка кваліфікованого конкурентоспроможного фахівця – журналіста-міжнародника, який ґрунтовно опанував фахові дисципліни, володіє іноземними мовами, може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розробляти й висвітлювати міжнародну проблематику, виконувати виробничі завдання в сучасних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масмедіа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розв’язувати актуальні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проблеми в різних комунікативних обставинах, застосовуючи фундаментальні й новітні теоретичні напрацювання, сучасні методи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журналістикознавства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суміжних наук, дотичних до міжнародної тематики; використовує інформаційно-комунікаційні технології у сфері медіа, здатний до самоосвіти та постійного професійного вдосконалення відповідно до сучасних потреб і нових тенденцій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медіаринку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CD07B8" w:rsidRDefault="00CD07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d"/>
        <w:tblW w:w="10490" w:type="dxa"/>
        <w:tblInd w:w="-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9"/>
        <w:gridCol w:w="7521"/>
      </w:tblGrid>
      <w:tr w:rsidR="00CD07B8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Предметна галузь (галузь знань, спеціальність, спеціалізація (за наявності))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Галузь знань С Соціальні науки, журналістика, інформація та міжнародні відносини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Спеціальність С7 Журналістика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Об’єкти вивчення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журналістика, усі складові професійних соціальних комунікацій, глобальна сфера масової інформації, інструменти журналістської діяльності на міжнародному рівні; функціонування світових медіа як соціальних інститутів у демократичних суспільствах; процеси створення, поширення, сприйняття й інтерпретації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медіатекстів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друкованих, аудіовізуальних та цифрових форматах у глобалізованому середовищі; специфіка роботи журналіста в міжнародному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поліетнічному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мультикультурному просторі, зокрема в умовах регіональної специфіки, зокрема Закарпаття; динаміка розвитку міжнародного медіапростору в умовах мультимедійних технологій, глобалізації,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міжнародних комунікаційних процесів.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Теоретичний зміст предметної галузі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наукові положення сучасного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журналістикознавства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система знань про природу, сутність і функції глобальної журналістики та міжнародної масової комунікації; структура світової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медіасистеми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жанрово-стильові параметри й способи актуалізації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медіатекстів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 сучасних технологічних умовах; принципи професійної діяльності журналіста в міжнародному просторі, зокрема правові, етичні, культурні, міжкультурні та національно ціннісні засади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медіапрактики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особливості функціонування української літературної мови в міжнародній комунікації; сучасні концепції історії української, зарубіжної журналістики та світових медіа.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Методи, методики та технології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освітній процес базується на традиційних та новітніх методах, формах навчання і викладання: лекціях, дискусіях, практичних, лабораторних, семінарських заняттях, інтерактивних навчальних форматах; застосовуються методики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проєктно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-орієнтованого та проблемно-орієнтованого навчання із залученням кейс-методу, спеціальних методів аналізу міжнародних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медіатекстів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(контент-, дискурс-, стилістичний, жанровий, порівняльний та ін.), імітаційних ігор,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фактчекінгу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інтерв’ювання, редагування, мультимедійного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сторителінгу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моделювання кризових міжнародних комунікаційних ситуацій; широко використовуються сучасні технології: цифрові освітні платформи, навчальні редакції, інструменти відео-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аудіомонтажу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мобільної журналістики, візуалізації даних, роботи в соціальних мережах, а також засоби для роботи з глобальними новинними потоками. 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Інструменти та обладнання: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комп’ютери з професійним програмним забезпеченням для обробки тексту, фото, відео, аудіо; цифрові камери, мікрофони, освітлювальна техніка для роботи в міжнародних репортажних умовах;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телерадіостудії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університетські мультимедійні редакції, платформи дистанційного та гібридного навчання; спеціалізовані бази даних міжнародних інформаційних агентств, сервіси для перевірки фактів і міжнародного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фактчекінгу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мультимедійні комплекси для створення та поширення глобального журналістського контенту.</w:t>
            </w:r>
          </w:p>
        </w:tc>
      </w:tr>
      <w:tr w:rsidR="00CD07B8" w:rsidTr="00070710">
        <w:trPr>
          <w:trHeight w:val="19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Освітньо-професійна програма орієнтована на здобуття студентами професійних знань, умінь, навичок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успішного здійснення професійної діяльності в галузі міжнародної журналістики.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Основний фокус освітньої програми «Міжнародна журналістика» полягає в підготовці компетентного конкурентоздатного фахівця, який володіє знаннями в галузі соціальних комунікацій, необхідні для здійснення професійної діяльності в традиційних і новітніх медіа, а також має відповідні навички з теорії й практики друкованої,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радійної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телевізійної,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журналістики в Україні та за кордоном, обізнаний з історією світової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спеціалізується на міжнародній проблематиці (суспільно-політичній, культурній, економічній), знає історію української та зарубіжної журналістики, вміє застосовувати  на практиці знання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медіалінгвістики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ЗМК; розуміє засади літературної творчості, філософії, історії, що сприяє культурному розвитку творчої особистості, розумінню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загальногуманістичних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етичних цінностей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медійника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тобто формуванню гармонійно розвиненого інтелектуального фахівця, здатного вирішувати спеціалізовані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масмедійні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завдання в складних умовах, адекватно реагувати на виклики часу.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Освітньо-професійна програма враховує фундаментальні й новітні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журналістикознавчі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розробки, зокрема в галузі міжнародної журналістики, актуальні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тенденції, ґрунтується на сучасних освітніх методиках, знаннях та індивідуальному досвіді наукового-педагогічних працівників.</w:t>
            </w:r>
          </w:p>
          <w:p w:rsidR="00CD07B8" w:rsidRDefault="00CD0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Ключові слова: журналістика, міжнародна журналістика, соціальні комунікації, теорія та практика журналістики, медіа, інформаційно-комунікаційні технології.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Особливості програми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освітній програмі, яка передбачає здобуття фундаментальних і новітніх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орієнтованих знань, практичних навичок для розв’язання фахових завдань, передусім враховано потребу сучасного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масмедійного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ринку (зокрема регіонального) в універсальних фахівцях, здатних висвітлювати широкий спектр міжнародної тематики, ефективно працювати в різних медіа (друкованих, радіо-,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-, онлайн-), застосовуючи технічні засоби. Своєрідність програми зумовлена 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поліетнічними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мультикультурними особливостями Закарпаття як прикордонного регіону України, що межує з чотирма країнами Європейського Союзу та НАТО, тому значну увагу зосереджено на формуванні фахівця, що добре орієнтується в транскордонних питаннях, має навички толерантної комунікації 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представниками різних соціальних груп, уміє висвітлювати теми, пов’язані з культурними, релігійними,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особливостями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етноспільнот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обізнаний з історичною специфікою краю та сусідніх держав, володіє іноземними мовами. Специфіка освітньої програми відображена у змісті навчальних дисциплін, врахуванні досвіду українських і світових медіа, практичній підготовці здобувачів. При цьому акцент зроблено на новітніх медіа, сучасних методах роботи журналіста, особливостях його діяльності в умовах нестабільності, інформаційної агресії. Важливою особливістю програми є те, що вона реалізується у консорціумі з науково-педагогічними працівниками факультету міжнародних економічних відносин УжНУ.</w:t>
            </w:r>
          </w:p>
          <w:p w:rsidR="00CD07B8" w:rsidRDefault="00CD07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D07B8">
        <w:trPr>
          <w:trHeight w:val="356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 – Придатність випускників освітньої програми до працевлаштування та подальшого навчання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Випускники програми можуть успішно працювати в медіа, виконувати журналістську роботу, висвітлювати міжнародні теми, створювати й удосконалювати оригінальний професійний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всіх сучасних видів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масмедіа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Бакалавр журналістики може працювати як журналіст, кореспондент,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телерадіоведучий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літературний редактор у медіа, редактор відділу, адміністратор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медіаресурсу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фахівець із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зв’язків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із громадськістю тощо. </w:t>
            </w:r>
          </w:p>
          <w:p w:rsidR="00CD07B8" w:rsidRDefault="007E479B">
            <w:pPr>
              <w:ind w:right="57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Випускник здатен виконувати професійну роботу згідно з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Національним класифікатором України: Класифікатором професій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(ДК 003:2010 зі змінами № 10 від 25.10.2021 р., змінами № 13 від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16.01.2024 р.):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журналіст; 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кореспондент;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журналіст мультимедійних видань засобів масової інформації;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оглядач;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2451.2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інокореспондент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 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ведучий програми; 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редактор; 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2451.2 – редактор відповідальний;</w:t>
            </w:r>
          </w:p>
          <w:p w:rsidR="00CD07B8" w:rsidRDefault="007E479B">
            <w:pPr>
              <w:ind w:left="94" w:right="57" w:hanging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3472 – диктор;</w:t>
            </w:r>
          </w:p>
          <w:p w:rsidR="00CD07B8" w:rsidRDefault="007E479B">
            <w:pPr>
              <w:ind w:right="5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3472 – радіо-,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телеведучий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диктор; фахівець з інтерв’ювання.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Подальше навчання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Навчання на другому (магістерському) рівні вищої освіти.</w:t>
            </w:r>
          </w:p>
        </w:tc>
      </w:tr>
      <w:tr w:rsidR="00CD07B8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 – Викладання та оцінювання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Викладання та навчання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Студентоцентроване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й проблемно орієнтоване, комунікативно спрямоване навчання, самонавчання, індивідуально-творчий підхід, можливість рухатися у формуванні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індивідуальною освітньою траєкторією, опанування фаху через навчальні та виробничі практики в усіх видах медіа, розвиток когнітивних здібностей та навичок за допомогою виконання творчих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курсових досліджень, кваліфікаційної роботи.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Викладання базується на універсальній методології вищої школи, сучасних теоретико-прикладних засадах соціальних комунікацій,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медіалінгвістики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журналістикознавства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теорії і практики друкованої,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радійної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телевізійної,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журналістики, а також на врахуванні актуальних потреб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медіагалузі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України. 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Оцінювання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Накопичувальна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-рейтингова система, що передбачає оцінювання студентів за всі види аудиторної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позааудиторної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навчальної діяльності, спрямовані на опанування навчального навантаження з освітньої програми: поточний, модульний, підсумковий контроль; усні та письмові екзамени, колоквіуми, заліки, захисти курсових досліджень і кваліфікаційної роботи бакалавра.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Поточне та підсумкове оцінювання знань відбувається на засадах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студентоорієнтованого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особистісного підходу з використанням сучасних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практик. Оцінювання знань здобувачів вищої освіти відбувається згідно з Положенням про організацію освітнього процесу в Державному вищому навчальному закладі «Ужгородський національний університет»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https://www.uzhnu.edu.ua/uk/infocentre/get/31357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Положенням про порядок та методику проведення семестрових (курсових) екзаменів і заліків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https://www.uzhnu.edu.ua/uk/infocentre/get/5952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Положенням про атестацію здобувачів вищої освіти та екзаменаційну комісію у Державному вищому навчальному закладі «Ужгородський національний університет»</w:t>
            </w:r>
          </w:p>
          <w:p w:rsidR="00CD07B8" w:rsidRDefault="000707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>
              <w:r w:rsidR="007E47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https://www.uzhnu.edu.ua/uk/infocentre/get/11070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дотриманням норм академічної доброчесності відповідно до Положення про академічну доброчесність в Ужгородському національному університеті </w:t>
            </w:r>
            <w:hyperlink r:id="rId12">
              <w:r w:rsidR="007E47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https://www.uzhnu.edu.ua/uk/infocentre/get/12223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Перезарахування</w:t>
            </w:r>
            <w:proofErr w:type="spellEnd"/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кредитів відбувається на основі Положення про визнання (</w:t>
            </w:r>
            <w:proofErr w:type="spellStart"/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перезарахування</w:t>
            </w:r>
            <w:proofErr w:type="spellEnd"/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кредитів ЄКТС для учасників програм академічної мобільності у Державному вищому навчальному закладі «Ужгородський національний університет» </w:t>
            </w:r>
            <w:hyperlink r:id="rId13">
              <w:r w:rsidR="007E47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https://www.uzhnu.edu.ua/uk/infocentre/get/20131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Процедура оцінювання здобувачів вищої освіти також враховує результати неформальної та/або </w:t>
            </w:r>
            <w:proofErr w:type="spellStart"/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інформальної</w:t>
            </w:r>
            <w:proofErr w:type="spellEnd"/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освіти відповідно до Положення про порядок визнання в Державному вищому навчальному закладі «Ужгородський національний університет» результатів навчання, здобутих у неформальній та/або </w:t>
            </w:r>
            <w:proofErr w:type="spellStart"/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інформальній</w:t>
            </w:r>
            <w:proofErr w:type="spellEnd"/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освіті </w:t>
            </w:r>
            <w:hyperlink r:id="rId14">
              <w:r w:rsidR="007E47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https://www.uzhnu.edu.ua/uk/infocentre/get/22966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У ЗВО є чітка процедура розгляду апеляцій здобувачів вищої освіти, представлена в Положенні про порядок застосування заходів з врегулювання конфліктів та спорів (суперечок) у діяльності співробітників та здобувачів вищої освіти в Державного вищого навчального закладу «Ужгородський національний університет» </w:t>
            </w:r>
            <w:hyperlink r:id="rId15">
              <w:r w:rsidR="007E47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https://www.uzhnu.edu.ua/uk/infocentre/get/22964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Положенні про порядок оскарження результатів (апеляція) оцінювання в Державному вищому навчальному закладі «Ужгородський національний університет» </w:t>
            </w:r>
            <w:hyperlink r:id="rId16">
              <w:r w:rsidR="007E47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https://www.uzhnu.edu.ua/uk/infocentre/get/22967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CD07B8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– Програмні компетентності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розв’язувати складні спеціалізовані завдання та практичні проблеми в галузі соціальних комунікацій, що передбачає застосування положень і методів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соціальнокомунікаційних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інших наук і характеризується невизначеністю умов.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7521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ЗК01. Здатність застосовувати знання в практичних ситуаціях.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ЗК02. Знання та розуміння предметної галузі та розуміння професійної діяльності.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ЗК03. Здатність бути критичним і самокритичним.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ЗК04. Здатність до пошуку, оброблення та аналізу інформації з різних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джерел.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ЗК05. Навички використання інформаційних і комунікаційних технологій.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ЗК06. Здатність до адаптації та дії в новій ситуації.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ЗК07. Здатність працювати в команді.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ЗК08. Здатність навчатися і оволодівати сучасними знаннями.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ЗК09.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ЗК10.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галузі,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ЗК11. Здатність спілкуватися державною мовою.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ЗК12. Здатність спілкуватися іноземною мовою.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ЗК13. Здатність ухвалювати рішення та діяти, дотримуючись принципу неприпустимості корупції та будь-яких інших проявів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недоброчесності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Спеціальні (фахові, предметні) компетентності</w:t>
            </w:r>
          </w:p>
        </w:tc>
        <w:tc>
          <w:tcPr>
            <w:tcW w:w="7521" w:type="dxa"/>
          </w:tcPr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СК01. Здатність застосовувати знання зі сфери соціальних комунікацій у своїй професійній діяльності.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СК02. Здатність формувати інформаційний контент.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СК03. Здатність створювати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СК04. Здатність організовувати й контролювати командну професійну діяльність.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СК05. Здатність ефективно просувати створений медійний продукт.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СК06. Здатність до провадження безпечної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СК07. Здатність використовувати різні методи опрацювання інформації.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СК08. Здатність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професійно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оцінювати свій та чужий інформаційний продукт,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медіадіяльність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загалом.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СК09. Здатність осмислювати актуальні суспільно-політичні процеси в Україні та за кордоном, виробляти та коригувати власну журналістську стратегію, план дій з урахуванням національних інтересів та геополітичних умов.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СК10. Здатність застосовувати комп’ютерні технології,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коректно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й доречно використовувати штучний інтелект для пошуку фактів, дослідження явищ, поширення власного інформаційного продукту.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СК11. Здатність проводити інтерв’ю та збір коментарів у прямому ефірі, для відео-,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аудіозапису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СК12. Здатність адекватно застосовувати набуті знання й навички для вирішення проблем у професійній журналістській діяльності, створювати журналістські матеріали усіх сучасних форматів. 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СК13. Здатність адаптувати, зокрема редагувати, журналістські матеріали для різної цільової аудиторії, платформ,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медіаформатів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СК14. Здатність спілкуватися, співпрацювати з релевантними та компетентними експертами, представниками інших галузей, різних соціальних груп тощо з метою виконання журналістських завдань.</w:t>
            </w:r>
          </w:p>
          <w:p w:rsidR="00CD07B8" w:rsidRDefault="007E479B">
            <w:pPr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СК15. Здатність самостійно планувати й реалізовувати інформаційно-комунікаційну діяльність, здійснювати редакційний добір, оприлюднення та поширення журналістських матеріалів.</w:t>
            </w:r>
          </w:p>
        </w:tc>
      </w:tr>
      <w:tr w:rsidR="00CD07B8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 – Програмні результати навчання</w:t>
            </w:r>
          </w:p>
        </w:tc>
      </w:tr>
      <w:tr w:rsidR="00CD07B8">
        <w:trPr>
          <w:trHeight w:val="260"/>
        </w:trPr>
        <w:tc>
          <w:tcPr>
            <w:tcW w:w="10490" w:type="dxa"/>
            <w:gridSpan w:val="2"/>
          </w:tcPr>
          <w:p w:rsidR="00CD07B8" w:rsidRDefault="007E479B">
            <w:pPr>
              <w:ind w:right="51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ПР01. Пояснювати свої виробничі дії та операції на основі отриманих знань.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ПР02. Застосовувати знання зі сфери предметної спеціалізації для створення інформаційного продукту чи для проведення інформаційної акції на міжнародному рівні.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ПР03. Оцінювати свій чи чужий інформаційний продукт, інформаційну акцію, що організована й проведена самостійно або разом із колегами.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ПР04. Виконувати пошук, оброблення та аналіз інформації з різних джерел.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ПР05. Використовувати сучасні інформаційні й комунікаційні технології, штучний інтелект, спеціалізоване програмне забезпечення для вирішення професійних завдань у сфері міжнародної журналістики.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ПР06. Планувати свою діяльність та діяльність колективу з урахуванням цілей, обмежень та передбачуваних ризиків.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ПР07. Координувати виконання особистого завдання із завданнями колег.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ПР08. Виокремлювати у виробничих ситуаціях факти, події, відомості, процеси, про які бракує знань, і розкривати способи та джерела здобування тих знань.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ПР09. Оцінювати діяльність колег як носіїв прав і обов’язків членів суспільства, представників громадянського суспільства.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ПР10. Оцінювати діяльність колег із погляду зберігання та примноження суспільних і культурних цінностей, досягнень.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ПР11. Вільно спілкуватися з професійних питань з представниками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медіаспільноти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експертами, спікерами, включаючи усну, письмову та електронну комунікацію, українською мовою.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ПР12. Вільно спілкуватися з професійних питань, включаючи усну, письмову та електронну комунікацію, іноземною мовою.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ПР13. Передбачати реакцію вітчизняної та міжнародної аудиторії на інформаційний продукт чи на інформаційні акції, зважаючи на положення й методи соціально-комунікаційних наук.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ПР14. Генерувати інформаційний контент за заданою темою з використанням доступних, а також обов’язкових джерел інформації.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ПР15. Створювати грамотний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задану тему, визначеного жанру з урахуванням каналу поширення чи платформи оприлюднення.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ПР16. Планувати свою роботу та роботу колег, спрямовану як на генерування інформаційного контенту, так і створення міжнародного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також його промоцію.</w:t>
            </w:r>
          </w:p>
          <w:p w:rsidR="00CD07B8" w:rsidRDefault="007E479B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ПР17. Розміщувати оперативну інформацію про свій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медіапродукт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доступних інтернет-платформах. 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ПР18. Використовувати необхідні знання й технології для виходу з кризових комунікаційних ситуацій на засадах толерантності, діалогу й співробітництва.</w:t>
            </w:r>
          </w:p>
          <w:p w:rsidR="00CD07B8" w:rsidRDefault="007E479B">
            <w:pPr>
              <w:ind w:right="5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ПР19. Вивчати сучасні суспільно-політичні процеси в Україні та за кордоном, розробляти план власних професійних дій з урахуванням національних інтересів та геополітичних умов.</w:t>
            </w:r>
          </w:p>
          <w:p w:rsidR="00CD07B8" w:rsidRDefault="007E479B">
            <w:pPr>
              <w:ind w:right="51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ПР20. Майстерно оперувати сучасними методами роботи журналіста в умовах глобальних, національних і регіональних викликів.</w:t>
            </w:r>
          </w:p>
        </w:tc>
      </w:tr>
      <w:tr w:rsidR="00CD07B8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 – Ресурсне забезпечення реалізації програми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Кадрове забезпечення</w:t>
            </w:r>
          </w:p>
        </w:tc>
        <w:tc>
          <w:tcPr>
            <w:tcW w:w="7521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Колектив робочої групи освітньої програми, науково-педагогічні працівники, які задіяні до викладання навчальних дисциплін за спеціальністю, відповідають Ліцензійним умовам провадження освітньої діяльності на першому (бакалаврському) рівні вищої освіти. 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Науково-педагогічні працівники, які забезпечують програму, постійно проходять стажування відповідно до Положення про підвищення кваліфікації та стажування педагогічних та науково-педагогічних працівників ДВНЗ «Ужгородський національний університет»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https://www.uzhnu.edu.ua/uk/infocentre/get/5950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CD07B8">
        <w:trPr>
          <w:trHeight w:val="240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Матеріально-технічне забезпечення</w:t>
            </w:r>
          </w:p>
        </w:tc>
        <w:tc>
          <w:tcPr>
            <w:tcW w:w="7521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Забезпеченість навчальними приміщеннями, комп’ютерними робочими місцями, мультимедійним обладнанням відповідає потребам. 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Наявна вся необхідна соціально-побутова інфраструктура. 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проведення практичних, семінарських занять та лабораторних занять, інформаційного пошуку та опрацювання результатів наявні спеціалізовані аудиторії факультету з необхідним програмним забезпеченням та необмеженим відкритим доступом до Інтернет-мережі.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Повне інформаційне та навчально-методичне забезпечення дозволяє на високому рівні здійснювати підготовку фахівців: </w:t>
            </w:r>
          </w:p>
          <w:p w:rsidR="00CD07B8" w:rsidRDefault="007E47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офіційний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вебсайт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http://www.uzhnu.edu.ua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містить інформацію про освітні програми, навчальну, наукову та виховну діяльність, структурні підрозділи, правила прийому, контакти;</w:t>
            </w:r>
          </w:p>
          <w:p w:rsidR="00CD07B8" w:rsidRDefault="007E47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необмежений доступ до мережі Інтернет; </w:t>
            </w:r>
          </w:p>
          <w:p w:rsidR="00CD07B8" w:rsidRDefault="007E47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доступ до традиційних фондів та електронних каталогів наукової бібліотеки ДВНЗ «УжНУ», а також до електронного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репoзитарію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ДВНЗ «УжНУ» (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https://dspace.uzhnu.edu.ua/jspui/home.jsp?locale=uk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де розміщені навчально-методичні матеріали; </w:t>
            </w:r>
          </w:p>
          <w:p w:rsidR="00CD07B8" w:rsidRDefault="007E47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наукова бібліотека, читальні зали; </w:t>
            </w:r>
          </w:p>
          <w:p w:rsidR="00CD07B8" w:rsidRDefault="007E479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віртуальне навчальне середовище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https://moodle.uzhnu.edu.ua/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CD07B8" w:rsidRDefault="007E47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навчальна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та радіостудія;</w:t>
            </w:r>
          </w:p>
          <w:p w:rsidR="00CD07B8" w:rsidRDefault="007E47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 кафедри журналістики (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http://mediadep.uzhnu.edu.ua/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CD07B8" w:rsidRDefault="007E47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мультимедійна платформа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Vista» (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https://mediavista.com.ua/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); </w:t>
            </w:r>
          </w:p>
          <w:p w:rsidR="00CD07B8" w:rsidRDefault="007E47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вебсайт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філологічного факультету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https://www.uzhnu.edu.ua/uk/cat/faculty-ffilology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із наявною інформацією про організацію навчального процесу; </w:t>
            </w:r>
          </w:p>
          <w:p w:rsidR="00CD07B8" w:rsidRDefault="007E479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57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редакція студентської газети «Погляд» (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https://www.uzhnu.edu.ua/uk/cat/university-poglyad/issues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</w:tc>
      </w:tr>
      <w:tr w:rsidR="00CD07B8">
        <w:trPr>
          <w:trHeight w:val="260"/>
        </w:trPr>
        <w:tc>
          <w:tcPr>
            <w:tcW w:w="10490" w:type="dxa"/>
            <w:gridSpan w:val="2"/>
            <w:shd w:val="clear" w:color="auto" w:fill="D0CECE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 – Академічна мобільність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521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Академічна мобільність студентів здійснюється на основі двосторонніх угод, укладених між ДВНЗ «Ужгородський національний університет» та закладами вищої освіти України (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https://www.uzhnu.edu.ua/uk/infocentre/21265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Відповідно до Положення про академічну мобільність студентів у ДВНЗ «Ужгородський національний університет»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https://www.uzhnu.edu.ua/uk/infocentre/get/21269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встановлено загальний порядок організації академічної мобільності студентів. Здійснюється згідно з програмою міжнародної академічної мобільності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Erasmus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+».</w:t>
            </w:r>
          </w:p>
        </w:tc>
      </w:tr>
      <w:tr w:rsidR="00CD07B8">
        <w:trPr>
          <w:trHeight w:val="260"/>
        </w:trPr>
        <w:tc>
          <w:tcPr>
            <w:tcW w:w="2969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521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ДВНЗ «УжНУ» приймаються іноземні громадяни, а також особи без громадянства, які проживають на території України на законних підставах. Особливості вступу та навчання визначаються Положенням про навчання іноземних громадян у ДВНЗ «УжНУ»</w:t>
            </w:r>
          </w:p>
          <w:p w:rsidR="00CD07B8" w:rsidRDefault="000707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7">
              <w:r w:rsidR="007E47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https://www.uzhnu.edu.ua/uk/infocentre/get/9378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D07B8">
          <w:pgSz w:w="11906" w:h="16838"/>
          <w:pgMar w:top="709" w:right="991" w:bottom="709" w:left="1134" w:header="708" w:footer="708" w:gutter="0"/>
          <w:pgNumType w:start="1"/>
          <w:cols w:space="720"/>
        </w:sectPr>
      </w:pP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 Перелік компонентів освітньо-професійної програми та їхня логічна послідовність</w:t>
      </w: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 Перелік компонентів ОП</w:t>
      </w:r>
    </w:p>
    <w:tbl>
      <w:tblPr>
        <w:tblStyle w:val="affe"/>
        <w:tblW w:w="10348" w:type="dxa"/>
        <w:tblInd w:w="-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21"/>
        <w:gridCol w:w="26"/>
        <w:gridCol w:w="6692"/>
        <w:gridCol w:w="55"/>
        <w:gridCol w:w="881"/>
        <w:gridCol w:w="56"/>
        <w:gridCol w:w="1417"/>
      </w:tblGrid>
      <w:tr w:rsidR="00CD07B8">
        <w:trPr>
          <w:trHeight w:val="1045"/>
        </w:trPr>
        <w:tc>
          <w:tcPr>
            <w:tcW w:w="1247" w:type="dxa"/>
            <w:gridSpan w:val="2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н/д</w:t>
            </w:r>
          </w:p>
        </w:tc>
        <w:tc>
          <w:tcPr>
            <w:tcW w:w="6747" w:type="dxa"/>
            <w:gridSpan w:val="2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Компоненти освітньої програми (навчальні дисципліни, курсові роботи, практики, кваліфікаційна робота)</w:t>
            </w:r>
          </w:p>
        </w:tc>
        <w:tc>
          <w:tcPr>
            <w:tcW w:w="937" w:type="dxa"/>
            <w:gridSpan w:val="2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Кіль-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кість кредитів</w:t>
            </w:r>
          </w:p>
        </w:tc>
        <w:tc>
          <w:tcPr>
            <w:tcW w:w="141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19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тролю</w:t>
            </w:r>
          </w:p>
        </w:tc>
      </w:tr>
      <w:tr w:rsidR="00CD07B8">
        <w:trPr>
          <w:trHeight w:val="156"/>
        </w:trPr>
        <w:tc>
          <w:tcPr>
            <w:tcW w:w="1247" w:type="dxa"/>
            <w:gridSpan w:val="2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47" w:type="dxa"/>
            <w:gridSpan w:val="2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7" w:type="dxa"/>
            <w:gridSpan w:val="2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D07B8">
        <w:trPr>
          <w:trHeight w:val="282"/>
        </w:trPr>
        <w:tc>
          <w:tcPr>
            <w:tcW w:w="10348" w:type="dxa"/>
            <w:gridSpan w:val="7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Обов’язкові компоненти ОП (ОК)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ОК01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Історія та культура України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ОК02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Українська мова за професійним спрямуванням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ОК03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Філософія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ОК04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Іноземна мова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ОК05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Основи масової комунікації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ОК06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наукових досліджень ЗМК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ОК07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журналістики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ОК08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Фото 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інфографіка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ОК09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Міжкультурна комунікація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Intercultural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communication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ОК10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антикорупція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доброчесність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ОК11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Вебтехнології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і виробництво цифрового контенту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заліки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ОК12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Аналітична міжнародна журналістика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ОК13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Засади літературної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творчости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ОК14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Теорія і практика друкованої журналістики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ОК15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Радіовиробництво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подкастинг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курсова робота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ОК16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Телевиробництво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курсова робота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ОК17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Міжнародна онлайн-журналістика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o8gys0qsig0m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ОК18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Історія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медіакомунікації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залік, екзамен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ОК19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Медіалінгвістика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курсова робота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ОК20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Друга іноземна мова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залік, екзамен,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ОК21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Медіастилістика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ОК22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Іноземна мова за професійним спрямуванням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екзамени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ОК23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Сучасні світові медіа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ОК24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Репортерський практикум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ОК25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Виробництво цифрового контенту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production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ОК26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Постановка голосу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медійника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ОК27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Журналістика в зонах бойових дій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ОК28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Практикум зі створення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медіатекстів</w:t>
            </w:r>
            <w:proofErr w:type="spellEnd"/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екзамен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ОК29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Ознайомча практика за фахом (навчальна)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ОК30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Виробнича практика (радіо)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диф.залік</w:t>
            </w:r>
            <w:proofErr w:type="spellEnd"/>
          </w:p>
        </w:tc>
      </w:tr>
      <w:tr w:rsidR="00CD07B8">
        <w:trPr>
          <w:trHeight w:val="282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ОК31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Виробнича практика (телебачення)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ОК32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Виробнича практика (онлайн-медіа)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ОК33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Практика зі спеціальності (виробнича) 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ОК34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та захист кваліфікаційної роботи бакалавра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захист</w:t>
            </w:r>
          </w:p>
        </w:tc>
      </w:tr>
      <w:tr w:rsidR="00CD07B8">
        <w:trPr>
          <w:trHeight w:val="255"/>
        </w:trPr>
        <w:tc>
          <w:tcPr>
            <w:tcW w:w="7939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Загальний обсяг обов’язкових компонентів</w:t>
            </w:r>
          </w:p>
        </w:tc>
        <w:tc>
          <w:tcPr>
            <w:tcW w:w="2409" w:type="dxa"/>
            <w:gridSpan w:val="4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180</w:t>
            </w:r>
          </w:p>
        </w:tc>
      </w:tr>
      <w:tr w:rsidR="00CD07B8">
        <w:trPr>
          <w:trHeight w:val="319"/>
        </w:trPr>
        <w:tc>
          <w:tcPr>
            <w:tcW w:w="10348" w:type="dxa"/>
            <w:gridSpan w:val="7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Вибіркові компоненти ОП (ВК)</w:t>
            </w:r>
          </w:p>
        </w:tc>
      </w:tr>
      <w:tr w:rsidR="00CD07B8">
        <w:trPr>
          <w:trHeight w:val="510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</w:t>
            </w:r>
          </w:p>
        </w:tc>
        <w:tc>
          <w:tcPr>
            <w:tcW w:w="6692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Вибірковий освітній компонент із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загальноуніверситетського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каталогу / Базова загальновійськова підготовка*</w:t>
            </w:r>
          </w:p>
        </w:tc>
        <w:tc>
          <w:tcPr>
            <w:tcW w:w="992" w:type="dxa"/>
            <w:gridSpan w:val="3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417" w:type="dxa"/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залік / 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залік*</w:t>
            </w:r>
          </w:p>
        </w:tc>
      </w:tr>
      <w:tr w:rsidR="00CD07B8">
        <w:trPr>
          <w:trHeight w:val="510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ВК2</w:t>
            </w:r>
          </w:p>
        </w:tc>
        <w:tc>
          <w:tcPr>
            <w:tcW w:w="6692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Вибірковий освітній компонент із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загальноуніверситетського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41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ВК3</w:t>
            </w:r>
          </w:p>
        </w:tc>
        <w:tc>
          <w:tcPr>
            <w:tcW w:w="6692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Вибірковий освітній компонент із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загальноуніверситетського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510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ВК4</w:t>
            </w:r>
          </w:p>
        </w:tc>
        <w:tc>
          <w:tcPr>
            <w:tcW w:w="6692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Вибірковий освітній компонент із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загальноуніверситетського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89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ВК5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6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ВК6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31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ВК7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5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ВК8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28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ВК9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300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ВК10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325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ВК11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323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ВК12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373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ВК13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300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ВК14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300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ВК15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300"/>
        </w:trPr>
        <w:tc>
          <w:tcPr>
            <w:tcW w:w="1247" w:type="dxa"/>
            <w:gridSpan w:val="2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ВК16</w:t>
            </w:r>
          </w:p>
        </w:tc>
        <w:tc>
          <w:tcPr>
            <w:tcW w:w="6692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Вибірковий освітній компонент із кафедрального каталогу</w:t>
            </w:r>
          </w:p>
        </w:tc>
        <w:tc>
          <w:tcPr>
            <w:tcW w:w="992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залік</w:t>
            </w:r>
          </w:p>
        </w:tc>
      </w:tr>
      <w:tr w:rsidR="00CD07B8">
        <w:trPr>
          <w:trHeight w:val="255"/>
        </w:trPr>
        <w:tc>
          <w:tcPr>
            <w:tcW w:w="7939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Загальний обсяг вибіркових компонентів</w:t>
            </w:r>
          </w:p>
        </w:tc>
        <w:tc>
          <w:tcPr>
            <w:tcW w:w="2409" w:type="dxa"/>
            <w:gridSpan w:val="4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CD07B8">
        <w:trPr>
          <w:trHeight w:val="255"/>
        </w:trPr>
        <w:tc>
          <w:tcPr>
            <w:tcW w:w="7939" w:type="dxa"/>
            <w:gridSpan w:val="3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ЗАГАЛЬНИЙ ОБСЯГ ОСВІТНЬОЇ ПРОГРАМИ </w:t>
            </w:r>
          </w:p>
        </w:tc>
        <w:tc>
          <w:tcPr>
            <w:tcW w:w="2409" w:type="dxa"/>
            <w:gridSpan w:val="4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240</w:t>
            </w:r>
          </w:p>
        </w:tc>
      </w:tr>
      <w:tr w:rsidR="00CD07B8">
        <w:trPr>
          <w:trHeight w:val="255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Практична підготовка за рахунок канікулярного часу здобувачів освіти</w:t>
            </w:r>
          </w:p>
        </w:tc>
      </w:tr>
      <w:tr w:rsidR="00CD07B8">
        <w:trPr>
          <w:trHeight w:val="255"/>
        </w:trPr>
        <w:tc>
          <w:tcPr>
            <w:tcW w:w="1221" w:type="dxa"/>
            <w:tcBorders>
              <w:bottom w:val="single" w:sz="4" w:space="0" w:color="000000"/>
            </w:tcBorders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18" w:type="dxa"/>
            <w:gridSpan w:val="2"/>
            <w:tcBorders>
              <w:bottom w:val="single" w:sz="4" w:space="0" w:color="000000"/>
            </w:tcBorders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Практична підготовка базової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загальновійськової підготовки**</w:t>
            </w:r>
          </w:p>
        </w:tc>
        <w:tc>
          <w:tcPr>
            <w:tcW w:w="936" w:type="dxa"/>
            <w:gridSpan w:val="2"/>
            <w:tcBorders>
              <w:bottom w:val="single" w:sz="4" w:space="0" w:color="000000"/>
            </w:tcBorders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3" w:type="dxa"/>
            <w:gridSpan w:val="2"/>
            <w:tcBorders>
              <w:bottom w:val="single" w:sz="4" w:space="0" w:color="000000"/>
            </w:tcBorders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D07B8">
        <w:trPr>
          <w:trHeight w:val="255"/>
        </w:trPr>
        <w:tc>
          <w:tcPr>
            <w:tcW w:w="7939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D07B8">
        <w:trPr>
          <w:trHeight w:val="255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* Навчальна дисципліна «Базова загальновійськова підготовка» введена до освітньої програми та навчального плану на підставі п. 7 Порядку проведення базової загальновійськової підготовки громадян України, які здобувають вищу освіту, та поліцейських, затвердженого Постановою Кабінету Міністрів України від 21.06.2024 № 734. 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 організації освітнього процесу, види навчальних занять, кількість годин, відведених на їх опанування, форми та засоби поточного і підсумкового контролю визначаються програмою навчальної дисципліни, яка розробляється на основі типової програми навчальної дисципліни «Базова загальновійськова підготовка», розробленої та затвердженої Генеральним штабом Збройних Сил України за погодженням з Міністерством освіти і науки України (з урахуванням норм постанови Кабінету Міністрів України від 21.06.2024 № 734).    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 Практична підготовка базової загальновійськової підготовки проводиться після опанування теоретичної підготовки у поточному навчальному році строком до одного місяця протягом травня – жовтня за рахунок часу, відведеного на канікулярну відпустку здобувачів вищої освіти.</w:t>
            </w:r>
          </w:p>
        </w:tc>
      </w:tr>
    </w:tbl>
    <w:p w:rsidR="00CD07B8" w:rsidRDefault="00CD07B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D07B8">
          <w:pgSz w:w="11906" w:h="16838"/>
          <w:pgMar w:top="1134" w:right="1134" w:bottom="1134" w:left="1134" w:header="709" w:footer="709" w:gutter="0"/>
          <w:cols w:space="720"/>
        </w:sect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2.2. Структурно-логічна схема ОП</w:t>
      </w:r>
    </w:p>
    <w:p w:rsidR="00D806A8" w:rsidRDefault="00D806A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06A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9553575" cy="6392544"/>
            <wp:effectExtent l="0" t="0" r="0" b="8890"/>
            <wp:docPr id="1" name="Рисунок 1" descr="C:\Users\nkara\OneDrive\Desktop\Звірені ОП 2024 і 2025 + проєкт\МЖ. С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ara\OneDrive\Desktop\Звірені ОП 2024 і 2025 + проєкт\МЖ. С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2"/>
                    <a:stretch/>
                  </pic:blipFill>
                  <pic:spPr bwMode="auto">
                    <a:xfrm>
                      <a:off x="0" y="0"/>
                      <a:ext cx="9556924" cy="63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07B8"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36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 Форма атестації здобувачів вищої освіти</w:t>
      </w: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" w:right="-73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Атестація випускників освітньої програми «Міжнародна журналістика» галузі знань С Соціальні науки, журналістика, інформація та міжнародні відносини спеціальності С7 Журналістика здійснюється у формі захисту кваліфікаційної роботи. </w:t>
      </w:r>
    </w:p>
    <w:p w:rsidR="00CD07B8" w:rsidRDefault="007E479B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" w:right="-73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успішного проходження атестації університет видає документ встановленого зразка про присудження ступеня бакалавра із присвоєнням кваліфікації: «Бакалавр журналістики».</w:t>
      </w:r>
    </w:p>
    <w:p w:rsidR="00CD07B8" w:rsidRDefault="00CD07B8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f"/>
        <w:tblW w:w="10190" w:type="dxa"/>
        <w:tblInd w:w="-458" w:type="dxa"/>
        <w:tblLayout w:type="fixed"/>
        <w:tblLook w:val="0000" w:firstRow="0" w:lastRow="0" w:firstColumn="0" w:lastColumn="0" w:noHBand="0" w:noVBand="0"/>
      </w:tblPr>
      <w:tblGrid>
        <w:gridCol w:w="3067"/>
        <w:gridCol w:w="7123"/>
      </w:tblGrid>
      <w:tr w:rsidR="00CD07B8">
        <w:trPr>
          <w:trHeight w:val="82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</w:tcBorders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_heading=h.u7uh8movqlb6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Форми атестації здобувачів вищої освіти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07B8" w:rsidRDefault="007E479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Атестація відбувається у формі публічного захисту кваліфікаційної роботи.</w:t>
            </w:r>
          </w:p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Атестація здобувачів відбувається відповідно до Положення про атестацію здобувачів вищої освіти та екзаменаційну комісію ДВНЗ «Ужгородський національний університет», затвердженого наказом ректора № 205/01-04 від 31.01.2025 р.</w:t>
            </w:r>
          </w:p>
          <w:p w:rsidR="00CD07B8" w:rsidRDefault="0007071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9">
              <w:r w:rsidR="007E479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https://www.uzhnu.edu.ua/uk/infocentre/get/11070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D07B8">
        <w:trPr>
          <w:trHeight w:val="4080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Вимоги до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кваліфікаційної</w:t>
            </w:r>
          </w:p>
          <w:p w:rsidR="00CD07B8" w:rsidRDefault="007E4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роботи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7B8" w:rsidRDefault="007E479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бакалавра – це виготовлений інформаційний продукт або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інформаційної акції чи інформаційна акція, до яких додають обґрунтування / пояснювальну записку.</w:t>
            </w:r>
          </w:p>
          <w:p w:rsidR="00CD07B8" w:rsidRDefault="007E479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 робота передбачає розв’язання складного спеціалізованого завдання або практичної проблеми у сфері соціальних комунікацій, що характеризується комплексністю і складністю умов.</w:t>
            </w:r>
          </w:p>
          <w:p w:rsidR="00CD07B8" w:rsidRDefault="007E479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 робота не повинна містити академічного плагіату, фабрикації та фальсифікації результатів дослідження.</w:t>
            </w:r>
          </w:p>
          <w:p w:rsidR="00CD07B8" w:rsidRDefault="007E479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має бути розміщена на сайті закладу вищої освіти або його структурного підрозділу, або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репозитарії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закладу вищої освіти, відповідно до Положення про кваліфікаційну роботу здобувача вищої освіти, затвердженого наказом ректора ДВНЗ «Ужгородський національний університет» 203/01-04 від 31.01.2025 р. </w:t>
            </w:r>
          </w:p>
          <w:p w:rsidR="00CD07B8" w:rsidRDefault="0007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30">
              <w:r w:rsidR="007E479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https://www.uzhnu.edu.ua/uk/infocentre/get/11106</w:t>
              </w:r>
            </w:hyperlink>
            <w:r w:rsidR="007E47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CD07B8" w:rsidRDefault="007E479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 оприлюдненням текст роботи перевіряється на наявність запозичень за допомогою спеціальних програм відповідно до порядку, затвердженого в ДВНЗ «Ужгородський національний університет».</w:t>
            </w:r>
          </w:p>
        </w:tc>
      </w:tr>
    </w:tbl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D07B8">
          <w:pgSz w:w="11906" w:h="16838"/>
          <w:pgMar w:top="1135" w:right="1440" w:bottom="1440" w:left="1418" w:header="708" w:footer="708" w:gutter="0"/>
          <w:cols w:space="720"/>
        </w:sectPr>
      </w:pP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spacing w:after="240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4. Матриця відповідності програмних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компонентам освітньої програми</w:t>
      </w:r>
    </w:p>
    <w:tbl>
      <w:tblPr>
        <w:tblStyle w:val="afff0"/>
        <w:tblW w:w="15451" w:type="dxa"/>
        <w:tblInd w:w="-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504"/>
      </w:tblGrid>
      <w:tr w:rsidR="00CD07B8" w:rsidTr="00D806A8">
        <w:trPr>
          <w:cantSplit/>
          <w:trHeight w:val="1134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ОК01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ОК03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ОК04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ОК05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ОК06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ОК07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ОК08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ОК09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 10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ОК11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ОК13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ОК14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ОК15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ОК16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ОК17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ОК19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ОК20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ОК21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ОК22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ОК23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ОК25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ОК26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ОК27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ОК28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ОК29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ОК30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ОК33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D07B8" w:rsidRDefault="007E479B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ОК34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ЗК01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ЗК03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ЗК04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ЗК05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ЗК06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ЗК07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ЗК08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ЗК09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ЗК10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ЗК11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198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ЗК12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ЗК13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СК01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СК03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СК04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СК05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СК06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СК07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СК08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СК09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СК10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highlight w:val="yellow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СК11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СК12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СК13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D07B8">
        <w:trPr>
          <w:trHeight w:val="198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СК14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</w:tr>
      <w:tr w:rsidR="00CD07B8">
        <w:trPr>
          <w:trHeight w:val="216"/>
        </w:trPr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2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СК15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CD07B8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07B8" w:rsidRDefault="007E479B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7B8" w:rsidRDefault="00CD07B8">
            <w:pPr>
              <w:ind w:left="-8505" w:right="-8505"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CD07B8" w:rsidRDefault="007E479B">
      <w:pPr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page"/>
      </w:r>
    </w:p>
    <w:p w:rsidR="00CD07B8" w:rsidRDefault="007E479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5. Матриця забезпечення програмних результатів навчання (ПР) відповідними компонентами освітньої програми</w:t>
      </w: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1"/>
        <w:tblW w:w="15589" w:type="dxa"/>
        <w:tblInd w:w="-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399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</w:tblGrid>
      <w:tr w:rsidR="00CD07B8" w:rsidTr="00D806A8">
        <w:trPr>
          <w:cantSplit/>
          <w:trHeight w:val="1134"/>
        </w:trPr>
        <w:tc>
          <w:tcPr>
            <w:tcW w:w="637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399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ОК01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ОК02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ОК03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ОК04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ОК05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ОК06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ОК07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 08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ОК09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ОК10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ОК11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ОК12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ОК13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ОК14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ОК15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ОК16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ОК17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ОК18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ОК19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ОК20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ОК21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ОК22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ОК23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ОК24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ОК25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ОК26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ОК27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ОК28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ОК29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ОК30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ОК31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ОК32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ОК33</w:t>
            </w:r>
          </w:p>
        </w:tc>
        <w:tc>
          <w:tcPr>
            <w:tcW w:w="441" w:type="dxa"/>
            <w:textDirection w:val="btL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ОК34</w:t>
            </w: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ПР01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ПР02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ПР03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ПР04</w:t>
            </w:r>
          </w:p>
        </w:tc>
        <w:tc>
          <w:tcPr>
            <w:tcW w:w="399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ПР05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ПР06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ПР07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ПР08</w:t>
            </w:r>
          </w:p>
        </w:tc>
        <w:tc>
          <w:tcPr>
            <w:tcW w:w="399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ПР09</w:t>
            </w:r>
          </w:p>
        </w:tc>
        <w:tc>
          <w:tcPr>
            <w:tcW w:w="399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ПР10</w:t>
            </w:r>
          </w:p>
        </w:tc>
        <w:tc>
          <w:tcPr>
            <w:tcW w:w="399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ПР11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ПР12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ПР13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ПР14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ПР15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bookmarkStart w:id="2" w:name="_heading=h.7o2kvdj2a0rw" w:colFirst="0" w:colLast="0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ПР16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ПР17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ПР18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ПР19</w:t>
            </w:r>
          </w:p>
        </w:tc>
        <w:tc>
          <w:tcPr>
            <w:tcW w:w="399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  <w:tr w:rsidR="00CD07B8" w:rsidTr="00D806A8">
        <w:tc>
          <w:tcPr>
            <w:tcW w:w="637" w:type="dxa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ПР20 </w:t>
            </w:r>
          </w:p>
        </w:tc>
        <w:tc>
          <w:tcPr>
            <w:tcW w:w="399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highlight w:val="red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CD0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vAlign w:val="center"/>
          </w:tcPr>
          <w:p w:rsidR="00CD07B8" w:rsidRDefault="007E47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</w:tr>
    </w:tbl>
    <w:p w:rsidR="00CD07B8" w:rsidRDefault="00CD07B8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3" w:name="_GoBack"/>
      <w:bookmarkEnd w:id="3"/>
    </w:p>
    <w:sectPr w:rsidR="00CD07B8" w:rsidSect="005473DB">
      <w:pgSz w:w="16838" w:h="11906" w:orient="landscape"/>
      <w:pgMar w:top="850" w:right="850" w:bottom="1417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2DE8522-5FA8-40E4-81E8-16F97335394E}"/>
    <w:embedBold r:id="rId2" w:fontKey="{9D9D8E76-8313-4232-820E-B6CAFF79FAF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52B55964-0246-44A9-A2C8-34F92D86D72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2396546-4B69-4C2F-BBDA-38A9C2C2135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FA0D1A3-9A94-42F1-9E90-D3D08922DE3A}"/>
    <w:embedItalic r:id="rId6" w:fontKey="{2B089F53-FE34-4A5D-B726-BCB65D3BAA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8A841501-21ED-46FE-81D5-890C02F3E71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D0E7F"/>
    <w:multiLevelType w:val="multilevel"/>
    <w:tmpl w:val="997A7046"/>
    <w:lvl w:ilvl="0">
      <w:start w:val="1"/>
      <w:numFmt w:val="bullet"/>
      <w:lvlText w:val="−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  <w:vertAlign w:val="baseline"/>
      </w:rPr>
    </w:lvl>
  </w:abstractNum>
  <w:abstractNum w:abstractNumId="1">
    <w:nsid w:val="40F77F49"/>
    <w:multiLevelType w:val="multilevel"/>
    <w:tmpl w:val="DCA0680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502A14A5"/>
    <w:multiLevelType w:val="multilevel"/>
    <w:tmpl w:val="3F982B46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7B8"/>
    <w:rsid w:val="00070710"/>
    <w:rsid w:val="005473DB"/>
    <w:rsid w:val="007E479B"/>
    <w:rsid w:val="00944AFE"/>
    <w:rsid w:val="00CD07B8"/>
    <w:rsid w:val="00D8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36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jc w:val="both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customStyle="1" w:styleId="11">
    <w:name w:val="Основной шрифт абзаца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qFormat/>
  </w:style>
  <w:style w:type="table" w:customStyle="1" w:styleId="TableNormal1">
    <w:name w:val="Table 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Заголовок1"/>
    <w:basedOn w:val="10"/>
    <w:next w:val="1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1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бычный1"/>
    <w:pPr>
      <w:suppressAutoHyphens/>
      <w:spacing w:line="1" w:lineRule="atLeast"/>
      <w:ind w:leftChars="-1" w:left="-1" w:hangingChars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8"/>
      <w:szCs w:val="28"/>
      <w:lang w:eastAsia="ru-RU"/>
    </w:rPr>
  </w:style>
  <w:style w:type="character" w:customStyle="1" w:styleId="16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7">
    <w:name w:val="Обычная таблица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</w:style>
  <w:style w:type="character" w:customStyle="1" w:styleId="19">
    <w:name w:val="Заголовок 1 Знак"/>
    <w:rPr>
      <w:rFonts w:ascii="Times New Roman" w:hAnsi="Times New Roman" w:cs="Times New Roman"/>
      <w:b/>
      <w:bCs/>
      <w:w w:val="100"/>
      <w:position w:val="-1"/>
      <w:sz w:val="32"/>
      <w:szCs w:val="32"/>
      <w:effect w:val="none"/>
      <w:vertAlign w:val="baseline"/>
      <w:cs w:val="0"/>
      <w:em w:val="none"/>
      <w:lang w:eastAsia="ru-RU"/>
    </w:rPr>
  </w:style>
  <w:style w:type="character" w:customStyle="1" w:styleId="20">
    <w:name w:val="Заголовок 2 Знак"/>
    <w:rPr>
      <w:rFonts w:ascii="Calibri Light" w:hAnsi="Calibri Light" w:cs="Calibri Light"/>
      <w:color w:val="2F5496"/>
      <w:w w:val="100"/>
      <w:position w:val="-1"/>
      <w:sz w:val="26"/>
      <w:szCs w:val="26"/>
      <w:effect w:val="none"/>
      <w:vertAlign w:val="baseline"/>
      <w:cs w:val="0"/>
      <w:em w:val="none"/>
      <w:lang w:eastAsia="ru-RU"/>
    </w:rPr>
  </w:style>
  <w:style w:type="paragraph" w:customStyle="1" w:styleId="110">
    <w:name w:val="Звичайний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customStyle="1" w:styleId="1a">
    <w:name w:val="Выделение1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1b">
    <w:name w:val="Верхний колонтитул1"/>
    <w:basedOn w:val="15"/>
  </w:style>
  <w:style w:type="character" w:customStyle="1" w:styleId="a4">
    <w:name w:val="Верхний колонтитул Знак"/>
    <w:rPr>
      <w:rFonts w:ascii="Times New Roman" w:hAnsi="Times New Roman" w:cs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customStyle="1" w:styleId="1c">
    <w:name w:val="Нижний колонтитул1"/>
    <w:basedOn w:val="15"/>
  </w:style>
  <w:style w:type="character" w:customStyle="1" w:styleId="a5">
    <w:name w:val="Нижний колонтитул Знак"/>
    <w:rPr>
      <w:rFonts w:ascii="Times New Roman" w:hAnsi="Times New Roman" w:cs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table" w:customStyle="1" w:styleId="1d">
    <w:name w:val="Сетка таблицы1"/>
    <w:basedOn w:val="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Гиперссылка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paragraph" w:customStyle="1" w:styleId="1f">
    <w:name w:val="Текст сноски1"/>
    <w:basedOn w:val="15"/>
    <w:rPr>
      <w:sz w:val="20"/>
      <w:szCs w:val="20"/>
    </w:rPr>
  </w:style>
  <w:style w:type="character" w:customStyle="1" w:styleId="a6">
    <w:name w:val="Текст сноски Знак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character" w:customStyle="1" w:styleId="1f0">
    <w:name w:val="Знак сноски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1f1">
    <w:name w:val="Просмотренная гиперссылка1"/>
    <w:rPr>
      <w:color w:val="auto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f2">
    <w:name w:val="Основной текст1"/>
    <w:basedOn w:val="15"/>
    <w:pPr>
      <w:overflowPunct w:val="0"/>
      <w:autoSpaceDE w:val="0"/>
      <w:autoSpaceDN w:val="0"/>
      <w:adjustRightInd w:val="0"/>
      <w:ind w:firstLine="0"/>
      <w:textAlignment w:val="baseline"/>
    </w:pPr>
    <w:rPr>
      <w:rFonts w:eastAsia="Calibri"/>
    </w:rPr>
  </w:style>
  <w:style w:type="character" w:customStyle="1" w:styleId="a7">
    <w:name w:val="Основной текст Знак"/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customStyle="1" w:styleId="1f3">
    <w:name w:val="Текст выноски1"/>
    <w:basedOn w:val="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f0">
    <w:name w:val="Balloon Text"/>
    <w:rPr>
      <w:rFonts w:ascii="Tahoma" w:hAnsi="Tahoma" w:cs="Tahoma"/>
      <w:sz w:val="16"/>
      <w:szCs w:val="16"/>
    </w:rPr>
  </w:style>
  <w:style w:type="character" w:customStyle="1" w:styleId="af1">
    <w:name w:val="Текст у виносці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4">
    <w:name w:val="Подзаголовок1"/>
    <w:basedOn w:val="10"/>
    <w:next w:val="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5">
    <w:name w:val="Обычный (веб)1"/>
    <w:basedOn w:val="10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a">
    <w:name w:val="Normal (Web)"/>
    <w:uiPriority w:val="99"/>
    <w:semiHidden/>
    <w:unhideWhenUsed/>
    <w:rsid w:val="00DB041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rsid w:val="00DB041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36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jc w:val="both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customStyle="1" w:styleId="11">
    <w:name w:val="Основной шрифт абзаца1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qFormat/>
  </w:style>
  <w:style w:type="table" w:customStyle="1" w:styleId="TableNormal1">
    <w:name w:val="Table 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Заголовок1"/>
    <w:basedOn w:val="10"/>
    <w:next w:val="1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1"/>
    <w:pPr>
      <w:spacing w:line="1" w:lineRule="atLeast"/>
      <w:ind w:leftChars="-1" w:left="-1" w:hangingChars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бычный1"/>
    <w:pPr>
      <w:suppressAutoHyphens/>
      <w:spacing w:line="1" w:lineRule="atLeast"/>
      <w:ind w:leftChars="-1" w:left="-1" w:hangingChars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8"/>
      <w:szCs w:val="28"/>
      <w:lang w:eastAsia="ru-RU"/>
    </w:rPr>
  </w:style>
  <w:style w:type="character" w:customStyle="1" w:styleId="16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7">
    <w:name w:val="Обычная таблица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</w:style>
  <w:style w:type="character" w:customStyle="1" w:styleId="19">
    <w:name w:val="Заголовок 1 Знак"/>
    <w:rPr>
      <w:rFonts w:ascii="Times New Roman" w:hAnsi="Times New Roman" w:cs="Times New Roman"/>
      <w:b/>
      <w:bCs/>
      <w:w w:val="100"/>
      <w:position w:val="-1"/>
      <w:sz w:val="32"/>
      <w:szCs w:val="32"/>
      <w:effect w:val="none"/>
      <w:vertAlign w:val="baseline"/>
      <w:cs w:val="0"/>
      <w:em w:val="none"/>
      <w:lang w:eastAsia="ru-RU"/>
    </w:rPr>
  </w:style>
  <w:style w:type="character" w:customStyle="1" w:styleId="20">
    <w:name w:val="Заголовок 2 Знак"/>
    <w:rPr>
      <w:rFonts w:ascii="Calibri Light" w:hAnsi="Calibri Light" w:cs="Calibri Light"/>
      <w:color w:val="2F5496"/>
      <w:w w:val="100"/>
      <w:position w:val="-1"/>
      <w:sz w:val="26"/>
      <w:szCs w:val="26"/>
      <w:effect w:val="none"/>
      <w:vertAlign w:val="baseline"/>
      <w:cs w:val="0"/>
      <w:em w:val="none"/>
      <w:lang w:eastAsia="ru-RU"/>
    </w:rPr>
  </w:style>
  <w:style w:type="paragraph" w:customStyle="1" w:styleId="110">
    <w:name w:val="Звичайний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customStyle="1" w:styleId="1a">
    <w:name w:val="Выделение1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1b">
    <w:name w:val="Верхний колонтитул1"/>
    <w:basedOn w:val="15"/>
  </w:style>
  <w:style w:type="character" w:customStyle="1" w:styleId="a4">
    <w:name w:val="Верхний колонтитул Знак"/>
    <w:rPr>
      <w:rFonts w:ascii="Times New Roman" w:hAnsi="Times New Roman" w:cs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customStyle="1" w:styleId="1c">
    <w:name w:val="Нижний колонтитул1"/>
    <w:basedOn w:val="15"/>
  </w:style>
  <w:style w:type="character" w:customStyle="1" w:styleId="a5">
    <w:name w:val="Нижний колонтитул Знак"/>
    <w:rPr>
      <w:rFonts w:ascii="Times New Roman" w:hAnsi="Times New Roman" w:cs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table" w:customStyle="1" w:styleId="1d">
    <w:name w:val="Сетка таблицы1"/>
    <w:basedOn w:val="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Гиперссылка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</w:rPr>
  </w:style>
  <w:style w:type="paragraph" w:customStyle="1" w:styleId="1f">
    <w:name w:val="Текст сноски1"/>
    <w:basedOn w:val="15"/>
    <w:rPr>
      <w:sz w:val="20"/>
      <w:szCs w:val="20"/>
    </w:rPr>
  </w:style>
  <w:style w:type="character" w:customStyle="1" w:styleId="a6">
    <w:name w:val="Текст сноски Знак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character" w:customStyle="1" w:styleId="1f0">
    <w:name w:val="Знак сноски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1f1">
    <w:name w:val="Просмотренная гиперссылка1"/>
    <w:rPr>
      <w:color w:val="auto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f2">
    <w:name w:val="Основной текст1"/>
    <w:basedOn w:val="15"/>
    <w:pPr>
      <w:overflowPunct w:val="0"/>
      <w:autoSpaceDE w:val="0"/>
      <w:autoSpaceDN w:val="0"/>
      <w:adjustRightInd w:val="0"/>
      <w:ind w:firstLine="0"/>
      <w:textAlignment w:val="baseline"/>
    </w:pPr>
    <w:rPr>
      <w:rFonts w:eastAsia="Calibri"/>
    </w:rPr>
  </w:style>
  <w:style w:type="character" w:customStyle="1" w:styleId="a7">
    <w:name w:val="Основной текст Знак"/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paragraph" w:customStyle="1" w:styleId="1f3">
    <w:name w:val="Текст выноски1"/>
    <w:basedOn w:val="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f0">
    <w:name w:val="Balloon Text"/>
    <w:rPr>
      <w:rFonts w:ascii="Tahoma" w:hAnsi="Tahoma" w:cs="Tahoma"/>
      <w:sz w:val="16"/>
      <w:szCs w:val="16"/>
    </w:rPr>
  </w:style>
  <w:style w:type="character" w:customStyle="1" w:styleId="af1">
    <w:name w:val="Текст у виносці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4">
    <w:name w:val="Подзаголовок1"/>
    <w:basedOn w:val="10"/>
    <w:next w:val="1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5">
    <w:name w:val="Обычный (веб)1"/>
    <w:basedOn w:val="10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a">
    <w:name w:val="Normal (Web)"/>
    <w:uiPriority w:val="99"/>
    <w:semiHidden/>
    <w:unhideWhenUsed/>
    <w:rsid w:val="00DB041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rsid w:val="00DB041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hnu.edu.ua/uk/infocentre/16778" TargetMode="External"/><Relationship Id="rId13" Type="http://schemas.openxmlformats.org/officeDocument/2006/relationships/hyperlink" Target="https://www.uzhnu.edu.ua/uk/infocentre/get/20131" TargetMode="External"/><Relationship Id="rId18" Type="http://schemas.openxmlformats.org/officeDocument/2006/relationships/hyperlink" Target="http://www.uzhnu.edu.ua" TargetMode="External"/><Relationship Id="rId26" Type="http://schemas.openxmlformats.org/officeDocument/2006/relationships/hyperlink" Target="https://www.uzhnu.edu.ua/uk/infocentre/get/21269" TargetMode="External"/><Relationship Id="rId3" Type="http://schemas.openxmlformats.org/officeDocument/2006/relationships/styles" Target="styles.xml"/><Relationship Id="rId21" Type="http://schemas.openxmlformats.org/officeDocument/2006/relationships/hyperlink" Target="http://mediadep.uzhnu.edu.ua/" TargetMode="External"/><Relationship Id="rId7" Type="http://schemas.openxmlformats.org/officeDocument/2006/relationships/hyperlink" Target="mailto:kaf-journal@uzhnu.edu.ua" TargetMode="External"/><Relationship Id="rId12" Type="http://schemas.openxmlformats.org/officeDocument/2006/relationships/hyperlink" Target="https://www.uzhnu.edu.ua/uk/infocentre/get/12223" TargetMode="External"/><Relationship Id="rId17" Type="http://schemas.openxmlformats.org/officeDocument/2006/relationships/hyperlink" Target="https://www.uzhnu.edu.ua/uk/infocentre/get/5950" TargetMode="External"/><Relationship Id="rId25" Type="http://schemas.openxmlformats.org/officeDocument/2006/relationships/hyperlink" Target="https://www.uzhnu.edu.ua/uk/infocentre/2126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zhnu.edu.ua/uk/infocentre/get/22967" TargetMode="External"/><Relationship Id="rId20" Type="http://schemas.openxmlformats.org/officeDocument/2006/relationships/hyperlink" Target="https://moodle.uzhnu.edu.ua/" TargetMode="External"/><Relationship Id="rId29" Type="http://schemas.openxmlformats.org/officeDocument/2006/relationships/hyperlink" Target="https://www.uzhnu.edu.ua/uk/infocentre/get/1107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zhnu.edu.ua/uk/infocentre/get/11070" TargetMode="External"/><Relationship Id="rId24" Type="http://schemas.openxmlformats.org/officeDocument/2006/relationships/hyperlink" Target="https://www.uzhnu.edu.ua/uk/cat/university-poglyad/issues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uzhnu.edu.ua/uk/infocentre/get/22964" TargetMode="External"/><Relationship Id="rId23" Type="http://schemas.openxmlformats.org/officeDocument/2006/relationships/hyperlink" Target="https://www.uzhnu.edu.ua/uk/cat/faculty-ffilology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s://www.uzhnu.edu.ua/uk/infocentre/get/5952" TargetMode="External"/><Relationship Id="rId19" Type="http://schemas.openxmlformats.org/officeDocument/2006/relationships/hyperlink" Target="https://dspace.uzhnu.edu.ua/jspui/home.jsp?locale=uk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uzhnu.edu.ua/uk/infocentre/get/31357" TargetMode="External"/><Relationship Id="rId14" Type="http://schemas.openxmlformats.org/officeDocument/2006/relationships/hyperlink" Target="https://www.uzhnu.edu.ua/uk/infocentre/get/22966" TargetMode="External"/><Relationship Id="rId22" Type="http://schemas.openxmlformats.org/officeDocument/2006/relationships/hyperlink" Target="https://mediavista.com.ua/" TargetMode="External"/><Relationship Id="rId27" Type="http://schemas.openxmlformats.org/officeDocument/2006/relationships/hyperlink" Target="https://www.uzhnu.edu.ua/uk/infocentre/get/9378" TargetMode="External"/><Relationship Id="rId30" Type="http://schemas.openxmlformats.org/officeDocument/2006/relationships/hyperlink" Target="https://www.uzhnu.edu.ua/uk/infocentre/get/1110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SFM/2AX7p+d3G21kZmO6l8IYgQ==">CgMxLjAyDmgubzhneXMwcXNpZzBtMg5oLnU3dWg4bW92cWxiNjIOaC43bzJrdmRqMmEwcnc4AHIhMUIwYlc2TzRVUkV2OVNReHNjQ2ZaRWFXMVVtejRqZ196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5708</Words>
  <Characters>32540</Characters>
  <Application>Microsoft Office Word</Application>
  <DocSecurity>0</DocSecurity>
  <Lines>271</Lines>
  <Paragraphs>76</Paragraphs>
  <ScaleCrop>false</ScaleCrop>
  <Company>SPecialiST RePack</Company>
  <LinksUpToDate>false</LinksUpToDate>
  <CharactersWithSpaces>38172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Наталія Толочко</dc:creator>
  <cp:lastModifiedBy>Decanat</cp:lastModifiedBy>
  <cp:revision>6</cp:revision>
  <dcterms:created xsi:type="dcterms:W3CDTF">2025-06-11T07:52:00Z</dcterms:created>
  <dcterms:modified xsi:type="dcterms:W3CDTF">2026-01-09T10:55:00Z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571b3a7d5676b07a99f65d1f257399c5df730e391246ff23646767fc02851944</vt:lpwstr>
  </property>
</Properties>
</file>