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33D" w:rsidRPr="0093427D" w:rsidRDefault="0093427D" w:rsidP="0093427D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93427D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93427D" w:rsidRPr="0093427D" w:rsidRDefault="0093427D" w:rsidP="0093427D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32"/>
          <w:lang w:val="uk-UA"/>
        </w:rPr>
        <w:t>Іноземна мова</w:t>
      </w:r>
      <w:r w:rsidR="007E1D4B">
        <w:rPr>
          <w:rFonts w:ascii="Times New Roman" w:eastAsia="Calibri" w:hAnsi="Times New Roman" w:cs="Times New Roman"/>
          <w:b/>
          <w:sz w:val="28"/>
          <w:szCs w:val="32"/>
          <w:lang w:val="uk-UA"/>
        </w:rPr>
        <w:t xml:space="preserve"> професійного спрямування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32"/>
          <w:lang w:val="uk-UA"/>
        </w:rPr>
        <w:t xml:space="preserve"> </w:t>
      </w:r>
      <w:r w:rsidR="00044FDF">
        <w:rPr>
          <w:rFonts w:ascii="Times New Roman" w:eastAsia="Calibri" w:hAnsi="Times New Roman" w:cs="Times New Roman"/>
          <w:b/>
          <w:sz w:val="28"/>
          <w:szCs w:val="32"/>
          <w:lang w:val="uk-UA"/>
        </w:rPr>
        <w:t xml:space="preserve">2 </w:t>
      </w:r>
      <w:r w:rsidRPr="0093427D">
        <w:rPr>
          <w:rFonts w:ascii="Times New Roman" w:eastAsia="Calibri" w:hAnsi="Times New Roman" w:cs="Times New Roman"/>
          <w:b/>
          <w:sz w:val="28"/>
          <w:szCs w:val="32"/>
          <w:lang w:val="uk-UA"/>
        </w:rPr>
        <w:t>курс</w:t>
      </w:r>
    </w:p>
    <w:p w:rsidR="0093427D" w:rsidRPr="0093427D" w:rsidRDefault="0093427D" w:rsidP="0093427D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  <w:r w:rsidRPr="0093427D">
        <w:rPr>
          <w:rFonts w:ascii="Times New Roman" w:eastAsia="Calibri" w:hAnsi="Times New Roman" w:cs="Times New Roman"/>
          <w:b/>
          <w:sz w:val="28"/>
          <w:szCs w:val="32"/>
          <w:lang w:val="uk-UA"/>
        </w:rPr>
        <w:t>Маркетинг</w:t>
      </w:r>
    </w:p>
    <w:p w:rsidR="00044FDF" w:rsidRPr="00044FDF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>Опрацювати самостійно навчальний матеріал з таких тем:</w:t>
      </w:r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1Markenbildung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Markenmanagement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2Markenrelaunch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Rebrending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3Video-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Blog-Marketing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>4Lufthansa</w:t>
      </w:r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5Soziale </w:t>
      </w:r>
      <w:proofErr w:type="spellStart"/>
      <w:r w:rsidRPr="0092649E">
        <w:rPr>
          <w:sz w:val="24"/>
          <w:szCs w:val="24"/>
        </w:rPr>
        <w:t>Verantwortung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von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Unternehmen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6Einhaltung </w:t>
      </w:r>
      <w:proofErr w:type="spellStart"/>
      <w:r w:rsidRPr="0092649E">
        <w:rPr>
          <w:sz w:val="24"/>
          <w:szCs w:val="24"/>
        </w:rPr>
        <w:t>rechtlicher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ethischer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Standards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7Kommunikationsmodelle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–</w:t>
      </w:r>
      <w:proofErr w:type="spellStart"/>
      <w:r w:rsidRPr="0092649E">
        <w:rPr>
          <w:sz w:val="24"/>
          <w:szCs w:val="24"/>
        </w:rPr>
        <w:t>kanäle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8Erfolgsmessung </w:t>
      </w:r>
      <w:proofErr w:type="spellStart"/>
      <w:r w:rsidRPr="0092649E">
        <w:rPr>
          <w:sz w:val="24"/>
          <w:szCs w:val="24"/>
        </w:rPr>
        <w:t>von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Werbemassnahmen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9Direktvertrieb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indirekter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Vertrieb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>10Kundenbeziehungsmanagament</w:t>
      </w:r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11Cross-Selling-und </w:t>
      </w:r>
      <w:proofErr w:type="spellStart"/>
      <w:r w:rsidRPr="0092649E">
        <w:rPr>
          <w:sz w:val="24"/>
          <w:szCs w:val="24"/>
        </w:rPr>
        <w:t>Upselling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Srategien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12Loyalitätsprogramme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Bonusmodelle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13Preisstrategien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Preisgestaltung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14Preiselastizität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ihre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Bedeutung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15Kostenbasierte </w:t>
      </w:r>
      <w:proofErr w:type="spellStart"/>
      <w:r w:rsidRPr="0092649E">
        <w:rPr>
          <w:sz w:val="24"/>
          <w:szCs w:val="24"/>
        </w:rPr>
        <w:t>vs</w:t>
      </w:r>
      <w:proofErr w:type="spellEnd"/>
      <w:r w:rsidRPr="0092649E">
        <w:rPr>
          <w:sz w:val="24"/>
          <w:szCs w:val="24"/>
        </w:rPr>
        <w:t xml:space="preserve">. </w:t>
      </w:r>
      <w:proofErr w:type="spellStart"/>
      <w:r w:rsidRPr="0092649E">
        <w:rPr>
          <w:sz w:val="24"/>
          <w:szCs w:val="24"/>
        </w:rPr>
        <w:t>Wertbasierte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Preisgestaltung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16Rabatte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Promotionsstrategien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17Strategien </w:t>
      </w:r>
      <w:proofErr w:type="spellStart"/>
      <w:r w:rsidRPr="0092649E">
        <w:rPr>
          <w:sz w:val="24"/>
          <w:szCs w:val="24"/>
        </w:rPr>
        <w:t>zur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Premiumpreisgestaltung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18Aufbau </w:t>
      </w:r>
      <w:proofErr w:type="spellStart"/>
      <w:r w:rsidRPr="0092649E">
        <w:rPr>
          <w:sz w:val="24"/>
          <w:szCs w:val="24"/>
        </w:rPr>
        <w:t>eines</w:t>
      </w:r>
      <w:proofErr w:type="spellEnd"/>
      <w:r w:rsidRPr="0092649E">
        <w:rPr>
          <w:sz w:val="24"/>
          <w:szCs w:val="24"/>
        </w:rPr>
        <w:t xml:space="preserve">  </w:t>
      </w:r>
      <w:proofErr w:type="spellStart"/>
      <w:r w:rsidRPr="0092649E">
        <w:rPr>
          <w:sz w:val="24"/>
          <w:szCs w:val="24"/>
        </w:rPr>
        <w:t>erfolgreichen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Online-Shop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19Personalisierung </w:t>
      </w:r>
      <w:proofErr w:type="spellStart"/>
      <w:r w:rsidRPr="0092649E">
        <w:rPr>
          <w:sz w:val="24"/>
          <w:szCs w:val="24"/>
        </w:rPr>
        <w:t>im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Online-Shop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20Logistik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Fulfillment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im</w:t>
      </w:r>
      <w:proofErr w:type="spellEnd"/>
      <w:r w:rsidRPr="0092649E">
        <w:rPr>
          <w:sz w:val="24"/>
          <w:szCs w:val="24"/>
        </w:rPr>
        <w:t xml:space="preserve"> E-</w:t>
      </w:r>
      <w:proofErr w:type="spellStart"/>
      <w:r w:rsidRPr="0092649E">
        <w:rPr>
          <w:sz w:val="24"/>
          <w:szCs w:val="24"/>
        </w:rPr>
        <w:t>Commerce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21Mobile </w:t>
      </w:r>
      <w:proofErr w:type="spellStart"/>
      <w:r w:rsidRPr="0092649E">
        <w:rPr>
          <w:sz w:val="24"/>
          <w:szCs w:val="24"/>
        </w:rPr>
        <w:t>Commerce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seine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Bedeutung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22Marktanalyse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Wettbewerbsstrategien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23Analyse </w:t>
      </w:r>
      <w:proofErr w:type="spellStart"/>
      <w:r w:rsidRPr="0092649E">
        <w:rPr>
          <w:sz w:val="24"/>
          <w:szCs w:val="24"/>
        </w:rPr>
        <w:t>von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Marktanteilen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Wachstumsraten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24Benchmarking </w:t>
      </w:r>
      <w:proofErr w:type="spellStart"/>
      <w:r w:rsidRPr="0092649E">
        <w:rPr>
          <w:sz w:val="24"/>
          <w:szCs w:val="24"/>
        </w:rPr>
        <w:t>mit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Wettbewerben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25Wettbewerbsdifferenzierung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Alleinstellungsmerkmale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26Risikoanalyse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Chancenbewerbung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27Kundenzufriedenheit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Servicequalität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28Umgang </w:t>
      </w:r>
      <w:proofErr w:type="spellStart"/>
      <w:r w:rsidRPr="0092649E">
        <w:rPr>
          <w:sz w:val="24"/>
          <w:szCs w:val="24"/>
        </w:rPr>
        <w:t>mit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Kundenfeedback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Beschwerden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29Schulung </w:t>
      </w:r>
      <w:proofErr w:type="spellStart"/>
      <w:r w:rsidRPr="0092649E">
        <w:rPr>
          <w:sz w:val="24"/>
          <w:szCs w:val="24"/>
        </w:rPr>
        <w:t>von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Servicepersonal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30Qualitätsstandards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ihre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Umsetzung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31Personalisierte </w:t>
      </w:r>
      <w:proofErr w:type="spellStart"/>
      <w:r w:rsidRPr="0092649E">
        <w:rPr>
          <w:sz w:val="24"/>
          <w:szCs w:val="24"/>
        </w:rPr>
        <w:t>Kundenansprache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durch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Datenanalyse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32Integration </w:t>
      </w:r>
      <w:proofErr w:type="spellStart"/>
      <w:r w:rsidRPr="0092649E">
        <w:rPr>
          <w:sz w:val="24"/>
          <w:szCs w:val="24"/>
        </w:rPr>
        <w:t>verschiedener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Technologien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in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den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Marketingprozess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33Interkulturelle </w:t>
      </w:r>
      <w:proofErr w:type="spellStart"/>
      <w:r w:rsidRPr="0092649E">
        <w:rPr>
          <w:sz w:val="24"/>
          <w:szCs w:val="24"/>
        </w:rPr>
        <w:t>Kommunikation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im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Marketing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34Globale </w:t>
      </w:r>
      <w:proofErr w:type="spellStart"/>
      <w:r w:rsidRPr="0092649E">
        <w:rPr>
          <w:sz w:val="24"/>
          <w:szCs w:val="24"/>
        </w:rPr>
        <w:t>Markenführung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35Strategien </w:t>
      </w:r>
      <w:proofErr w:type="spellStart"/>
      <w:r w:rsidRPr="0092649E">
        <w:rPr>
          <w:sz w:val="24"/>
          <w:szCs w:val="24"/>
        </w:rPr>
        <w:t>für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den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Markteintritt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in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neue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Länder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36Entwicklungen </w:t>
      </w:r>
      <w:proofErr w:type="spellStart"/>
      <w:r w:rsidRPr="0092649E">
        <w:rPr>
          <w:sz w:val="24"/>
          <w:szCs w:val="24"/>
        </w:rPr>
        <w:t>im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Voice-Marketing</w:t>
      </w:r>
      <w:proofErr w:type="spellEnd"/>
      <w:r w:rsidRPr="0092649E">
        <w:rPr>
          <w:sz w:val="24"/>
          <w:szCs w:val="24"/>
        </w:rPr>
        <w:t xml:space="preserve"> (</w:t>
      </w:r>
      <w:proofErr w:type="spellStart"/>
      <w:r w:rsidRPr="0092649E">
        <w:rPr>
          <w:sz w:val="24"/>
          <w:szCs w:val="24"/>
        </w:rPr>
        <w:t>z.B</w:t>
      </w:r>
      <w:proofErr w:type="spellEnd"/>
      <w:r w:rsidRPr="0092649E">
        <w:rPr>
          <w:sz w:val="24"/>
          <w:szCs w:val="24"/>
        </w:rPr>
        <w:t xml:space="preserve">. </w:t>
      </w:r>
      <w:proofErr w:type="spellStart"/>
      <w:r w:rsidRPr="0092649E">
        <w:rPr>
          <w:sz w:val="24"/>
          <w:szCs w:val="24"/>
        </w:rPr>
        <w:t>Alexa</w:t>
      </w:r>
      <w:proofErr w:type="spellEnd"/>
      <w:r w:rsidRPr="0092649E">
        <w:rPr>
          <w:sz w:val="24"/>
          <w:szCs w:val="24"/>
        </w:rPr>
        <w:t xml:space="preserve">, </w:t>
      </w:r>
      <w:proofErr w:type="spellStart"/>
      <w:r w:rsidRPr="0092649E">
        <w:rPr>
          <w:sz w:val="24"/>
          <w:szCs w:val="24"/>
        </w:rPr>
        <w:t>Google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Assistant</w:t>
      </w:r>
      <w:proofErr w:type="spellEnd"/>
      <w:r w:rsidRPr="0092649E">
        <w:rPr>
          <w:sz w:val="24"/>
          <w:szCs w:val="24"/>
        </w:rPr>
        <w:t>)</w:t>
      </w:r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37Nachhaltige </w:t>
      </w:r>
      <w:proofErr w:type="spellStart"/>
      <w:r w:rsidRPr="0092649E">
        <w:rPr>
          <w:sz w:val="24"/>
          <w:szCs w:val="24"/>
        </w:rPr>
        <w:t>Trends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im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Konsumentenverhalten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38Mikrotrends </w:t>
      </w:r>
      <w:proofErr w:type="spellStart"/>
      <w:r w:rsidRPr="0092649E">
        <w:rPr>
          <w:sz w:val="24"/>
          <w:szCs w:val="24"/>
        </w:rPr>
        <w:t>und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ihre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Auswirkungen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auf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Marketingsstrategien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3910 </w:t>
      </w:r>
      <w:proofErr w:type="spellStart"/>
      <w:r w:rsidRPr="0092649E">
        <w:rPr>
          <w:sz w:val="24"/>
          <w:szCs w:val="24"/>
        </w:rPr>
        <w:t>Trends</w:t>
      </w:r>
      <w:proofErr w:type="spellEnd"/>
      <w:r w:rsidRPr="0092649E">
        <w:rPr>
          <w:sz w:val="24"/>
          <w:szCs w:val="24"/>
        </w:rPr>
        <w:t xml:space="preserve">, </w:t>
      </w:r>
      <w:proofErr w:type="spellStart"/>
      <w:r w:rsidRPr="0092649E">
        <w:rPr>
          <w:sz w:val="24"/>
          <w:szCs w:val="24"/>
        </w:rPr>
        <w:t>die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den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Konsum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regieren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40Preisverfall </w:t>
      </w:r>
      <w:proofErr w:type="spellStart"/>
      <w:r w:rsidRPr="0092649E">
        <w:rPr>
          <w:sz w:val="24"/>
          <w:szCs w:val="24"/>
        </w:rPr>
        <w:t>bringt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Masse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41Ein </w:t>
      </w:r>
      <w:proofErr w:type="spellStart"/>
      <w:r w:rsidRPr="0092649E">
        <w:rPr>
          <w:sz w:val="24"/>
          <w:szCs w:val="24"/>
        </w:rPr>
        <w:t>Paar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staatlichen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Giganten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42Das </w:t>
      </w:r>
      <w:proofErr w:type="spellStart"/>
      <w:r w:rsidRPr="0092649E">
        <w:rPr>
          <w:sz w:val="24"/>
          <w:szCs w:val="24"/>
        </w:rPr>
        <w:t>Wirtschaftssystem</w:t>
      </w:r>
      <w:proofErr w:type="spellEnd"/>
      <w:r w:rsidRPr="0092649E">
        <w:rPr>
          <w:sz w:val="24"/>
          <w:szCs w:val="24"/>
        </w:rPr>
        <w:t xml:space="preserve"> </w:t>
      </w:r>
      <w:proofErr w:type="spellStart"/>
      <w:r w:rsidRPr="0092649E">
        <w:rPr>
          <w:sz w:val="24"/>
          <w:szCs w:val="24"/>
        </w:rPr>
        <w:t>Deutschlands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>43Verträge</w:t>
      </w:r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>44Börse</w:t>
      </w:r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t xml:space="preserve">45Die </w:t>
      </w:r>
      <w:proofErr w:type="spellStart"/>
      <w:r w:rsidRPr="0092649E">
        <w:rPr>
          <w:sz w:val="24"/>
          <w:szCs w:val="24"/>
        </w:rPr>
        <w:t>Entwicklungshelfer</w:t>
      </w:r>
      <w:proofErr w:type="spellEnd"/>
    </w:p>
    <w:p w:rsidR="00044FDF" w:rsidRPr="0092649E" w:rsidRDefault="00044FDF" w:rsidP="00044FDF">
      <w:pPr>
        <w:pStyle w:val="TableParagraph"/>
        <w:rPr>
          <w:sz w:val="24"/>
          <w:szCs w:val="24"/>
        </w:rPr>
      </w:pPr>
    </w:p>
    <w:p w:rsidR="00044FDF" w:rsidRDefault="00044FDF" w:rsidP="00044FDF">
      <w:pPr>
        <w:pStyle w:val="TableParagraph"/>
        <w:rPr>
          <w:sz w:val="24"/>
          <w:szCs w:val="24"/>
        </w:rPr>
      </w:pPr>
    </w:p>
    <w:p w:rsidR="00044FDF" w:rsidRPr="0092649E" w:rsidRDefault="00044FDF" w:rsidP="00044FDF">
      <w:pPr>
        <w:pStyle w:val="TableParagraph"/>
        <w:rPr>
          <w:sz w:val="24"/>
          <w:szCs w:val="24"/>
        </w:rPr>
      </w:pPr>
      <w:r w:rsidRPr="0092649E">
        <w:rPr>
          <w:sz w:val="24"/>
          <w:szCs w:val="24"/>
        </w:rPr>
        <w:lastRenderedPageBreak/>
        <w:t>Література</w:t>
      </w:r>
      <w:r>
        <w:rPr>
          <w:sz w:val="24"/>
          <w:szCs w:val="24"/>
        </w:rPr>
        <w:t>:</w:t>
      </w:r>
    </w:p>
    <w:p w:rsidR="00044FDF" w:rsidRPr="00044FDF" w:rsidRDefault="00044FDF" w:rsidP="00044FDF">
      <w:pPr>
        <w:pStyle w:val="TableParagraph"/>
        <w:rPr>
          <w:rFonts w:eastAsiaTheme="minorHAnsi"/>
          <w:sz w:val="24"/>
          <w:szCs w:val="24"/>
        </w:rPr>
      </w:pPr>
      <w:r w:rsidRPr="00044FDF">
        <w:rPr>
          <w:sz w:val="24"/>
          <w:szCs w:val="24"/>
        </w:rPr>
        <w:t xml:space="preserve">1 </w:t>
      </w:r>
      <w:proofErr w:type="spellStart"/>
      <w:r w:rsidRPr="00044FDF">
        <w:rPr>
          <w:rFonts w:eastAsiaTheme="minorHAnsi"/>
          <w:sz w:val="24"/>
          <w:szCs w:val="24"/>
        </w:rPr>
        <w:t>Гвоздяк-Фрідманська</w:t>
      </w:r>
      <w:proofErr w:type="spellEnd"/>
      <w:r w:rsidRPr="00044FDF">
        <w:rPr>
          <w:rFonts w:eastAsiaTheme="minorHAnsi"/>
          <w:sz w:val="24"/>
          <w:szCs w:val="24"/>
        </w:rPr>
        <w:t xml:space="preserve"> О.М., </w:t>
      </w:r>
      <w:proofErr w:type="spellStart"/>
      <w:r w:rsidRPr="00044FDF">
        <w:rPr>
          <w:rFonts w:eastAsiaTheme="minorHAnsi"/>
          <w:sz w:val="24"/>
          <w:szCs w:val="24"/>
        </w:rPr>
        <w:t>Біров</w:t>
      </w:r>
      <w:proofErr w:type="spellEnd"/>
      <w:r w:rsidRPr="00044FDF">
        <w:rPr>
          <w:rFonts w:eastAsiaTheme="minorHAnsi"/>
          <w:sz w:val="24"/>
          <w:szCs w:val="24"/>
        </w:rPr>
        <w:t xml:space="preserve"> І.Й. Довідник з граматики німецької мови. Посібник для студентів,- Ужгород: Закарпаття, 2000-221с.</w:t>
      </w:r>
    </w:p>
    <w:p w:rsidR="00044FDF" w:rsidRPr="00044FDF" w:rsidRDefault="00044FDF" w:rsidP="00044FDF">
      <w:pPr>
        <w:pStyle w:val="TableParagraph"/>
        <w:rPr>
          <w:rFonts w:eastAsiaTheme="minorHAnsi"/>
          <w:sz w:val="24"/>
          <w:szCs w:val="24"/>
        </w:rPr>
      </w:pPr>
      <w:r w:rsidRPr="00044FDF">
        <w:rPr>
          <w:sz w:val="24"/>
          <w:szCs w:val="24"/>
        </w:rPr>
        <w:t xml:space="preserve">2 </w:t>
      </w:r>
      <w:proofErr w:type="spellStart"/>
      <w:r w:rsidRPr="00044FDF">
        <w:rPr>
          <w:rFonts w:eastAsiaTheme="minorHAnsi"/>
          <w:sz w:val="24"/>
          <w:szCs w:val="24"/>
        </w:rPr>
        <w:t>Фрайхофф</w:t>
      </w:r>
      <w:proofErr w:type="spellEnd"/>
      <w:r w:rsidRPr="00044FDF">
        <w:rPr>
          <w:rFonts w:eastAsiaTheme="minorHAnsi"/>
          <w:sz w:val="24"/>
          <w:szCs w:val="24"/>
        </w:rPr>
        <w:t xml:space="preserve"> Д., </w:t>
      </w:r>
      <w:proofErr w:type="spellStart"/>
      <w:r w:rsidRPr="00044FDF">
        <w:rPr>
          <w:rFonts w:eastAsiaTheme="minorHAnsi"/>
          <w:sz w:val="24"/>
          <w:szCs w:val="24"/>
        </w:rPr>
        <w:t>Бекетова</w:t>
      </w:r>
      <w:proofErr w:type="spellEnd"/>
      <w:r w:rsidRPr="00044FDF">
        <w:rPr>
          <w:rFonts w:eastAsiaTheme="minorHAnsi"/>
          <w:sz w:val="24"/>
          <w:szCs w:val="24"/>
        </w:rPr>
        <w:t xml:space="preserve"> О. В., </w:t>
      </w:r>
      <w:proofErr w:type="spellStart"/>
      <w:r w:rsidRPr="00044FDF">
        <w:rPr>
          <w:rFonts w:eastAsiaTheme="minorHAnsi"/>
          <w:sz w:val="24"/>
          <w:szCs w:val="24"/>
        </w:rPr>
        <w:t>Ізерманн</w:t>
      </w:r>
      <w:proofErr w:type="spellEnd"/>
      <w:r w:rsidRPr="00044FDF">
        <w:rPr>
          <w:rFonts w:eastAsiaTheme="minorHAnsi"/>
          <w:sz w:val="24"/>
          <w:szCs w:val="24"/>
        </w:rPr>
        <w:t> Н. Ринкова економіка / Німецька економічна мова / Д. </w:t>
      </w:r>
      <w:proofErr w:type="spellStart"/>
      <w:r w:rsidRPr="00044FDF">
        <w:rPr>
          <w:rFonts w:eastAsiaTheme="minorHAnsi"/>
          <w:sz w:val="24"/>
          <w:szCs w:val="24"/>
        </w:rPr>
        <w:t>Фрайхофф</w:t>
      </w:r>
      <w:proofErr w:type="spellEnd"/>
      <w:r w:rsidRPr="00044FDF">
        <w:rPr>
          <w:rFonts w:eastAsiaTheme="minorHAnsi"/>
          <w:sz w:val="24"/>
          <w:szCs w:val="24"/>
        </w:rPr>
        <w:t>, О. В. </w:t>
      </w:r>
      <w:proofErr w:type="spellStart"/>
      <w:r w:rsidRPr="00044FDF">
        <w:rPr>
          <w:rFonts w:eastAsiaTheme="minorHAnsi"/>
          <w:sz w:val="24"/>
          <w:szCs w:val="24"/>
        </w:rPr>
        <w:t>Бекетова</w:t>
      </w:r>
      <w:proofErr w:type="spellEnd"/>
      <w:r w:rsidRPr="00044FDF">
        <w:rPr>
          <w:rFonts w:eastAsiaTheme="minorHAnsi"/>
          <w:sz w:val="24"/>
          <w:szCs w:val="24"/>
        </w:rPr>
        <w:t>, Н. </w:t>
      </w:r>
      <w:proofErr w:type="spellStart"/>
      <w:r w:rsidRPr="00044FDF">
        <w:rPr>
          <w:rFonts w:eastAsiaTheme="minorHAnsi"/>
          <w:sz w:val="24"/>
          <w:szCs w:val="24"/>
        </w:rPr>
        <w:t>Ізерманн</w:t>
      </w:r>
      <w:proofErr w:type="spellEnd"/>
      <w:r w:rsidRPr="00044FDF">
        <w:rPr>
          <w:rFonts w:eastAsiaTheme="minorHAnsi"/>
          <w:sz w:val="24"/>
          <w:szCs w:val="24"/>
        </w:rPr>
        <w:t>. – Київ: Вид-во УАДУ, 1999. – 156 с.</w:t>
      </w:r>
    </w:p>
    <w:p w:rsidR="00044FDF" w:rsidRPr="00044FDF" w:rsidRDefault="00044FDF" w:rsidP="00044FDF">
      <w:pPr>
        <w:pStyle w:val="TableParagraph"/>
        <w:rPr>
          <w:sz w:val="24"/>
          <w:szCs w:val="24"/>
        </w:rPr>
      </w:pPr>
      <w:r w:rsidRPr="00044FDF">
        <w:rPr>
          <w:sz w:val="24"/>
          <w:szCs w:val="24"/>
        </w:rPr>
        <w:t xml:space="preserve">3 </w:t>
      </w:r>
      <w:proofErr w:type="spellStart"/>
      <w:r w:rsidRPr="00044FDF">
        <w:rPr>
          <w:sz w:val="24"/>
          <w:szCs w:val="24"/>
        </w:rPr>
        <w:t>Berufsdeutsch</w:t>
      </w:r>
      <w:proofErr w:type="spellEnd"/>
      <w:r w:rsidRPr="00044FDF">
        <w:rPr>
          <w:sz w:val="24"/>
          <w:szCs w:val="24"/>
        </w:rPr>
        <w:t xml:space="preserve">. </w:t>
      </w:r>
      <w:proofErr w:type="spellStart"/>
      <w:r w:rsidRPr="00044FDF">
        <w:rPr>
          <w:sz w:val="24"/>
          <w:szCs w:val="24"/>
        </w:rPr>
        <w:t>Basisband</w:t>
      </w:r>
      <w:proofErr w:type="spellEnd"/>
      <w:r w:rsidRPr="00044FDF">
        <w:rPr>
          <w:sz w:val="24"/>
          <w:szCs w:val="24"/>
        </w:rPr>
        <w:t xml:space="preserve">. </w:t>
      </w:r>
      <w:proofErr w:type="spellStart"/>
      <w:r w:rsidRPr="00044FDF">
        <w:rPr>
          <w:sz w:val="24"/>
          <w:szCs w:val="24"/>
        </w:rPr>
        <w:t>Herausgegeben</w:t>
      </w:r>
      <w:proofErr w:type="spellEnd"/>
      <w:r w:rsidRPr="00044FDF">
        <w:rPr>
          <w:sz w:val="24"/>
          <w:szCs w:val="24"/>
        </w:rPr>
        <w:t xml:space="preserve"> </w:t>
      </w:r>
      <w:proofErr w:type="spellStart"/>
      <w:r w:rsidRPr="00044FDF">
        <w:rPr>
          <w:sz w:val="24"/>
          <w:szCs w:val="24"/>
        </w:rPr>
        <w:t>von</w:t>
      </w:r>
      <w:proofErr w:type="spellEnd"/>
      <w:r w:rsidRPr="00044FDF">
        <w:rPr>
          <w:sz w:val="24"/>
          <w:szCs w:val="24"/>
        </w:rPr>
        <w:t xml:space="preserve"> </w:t>
      </w:r>
      <w:proofErr w:type="spellStart"/>
      <w:r w:rsidRPr="00044FDF">
        <w:rPr>
          <w:sz w:val="24"/>
          <w:szCs w:val="24"/>
        </w:rPr>
        <w:t>Carlo</w:t>
      </w:r>
      <w:proofErr w:type="spellEnd"/>
      <w:r w:rsidRPr="00044FDF">
        <w:rPr>
          <w:sz w:val="24"/>
          <w:szCs w:val="24"/>
        </w:rPr>
        <w:t xml:space="preserve"> </w:t>
      </w:r>
      <w:proofErr w:type="spellStart"/>
      <w:r w:rsidRPr="00044FDF">
        <w:rPr>
          <w:sz w:val="24"/>
          <w:szCs w:val="24"/>
        </w:rPr>
        <w:t>Dirschedl</w:t>
      </w:r>
      <w:proofErr w:type="spellEnd"/>
      <w:r w:rsidRPr="00044FDF">
        <w:rPr>
          <w:sz w:val="24"/>
          <w:szCs w:val="24"/>
        </w:rPr>
        <w:t xml:space="preserve">. </w:t>
      </w:r>
      <w:proofErr w:type="spellStart"/>
      <w:r w:rsidRPr="00044FDF">
        <w:rPr>
          <w:sz w:val="24"/>
          <w:szCs w:val="24"/>
        </w:rPr>
        <w:t>Cornelsen</w:t>
      </w:r>
      <w:proofErr w:type="spellEnd"/>
      <w:r w:rsidRPr="00044FDF">
        <w:rPr>
          <w:sz w:val="24"/>
          <w:szCs w:val="24"/>
        </w:rPr>
        <w:t>, 2013,-128S</w:t>
      </w:r>
    </w:p>
    <w:p w:rsidR="00044FDF" w:rsidRPr="00044FDF" w:rsidRDefault="00044FDF" w:rsidP="00044FDF">
      <w:pPr>
        <w:pStyle w:val="TableParagraph"/>
        <w:rPr>
          <w:rFonts w:eastAsiaTheme="minorHAnsi"/>
          <w:sz w:val="24"/>
          <w:szCs w:val="24"/>
        </w:rPr>
      </w:pPr>
      <w:r w:rsidRPr="00044FDF">
        <w:rPr>
          <w:sz w:val="24"/>
          <w:szCs w:val="24"/>
        </w:rPr>
        <w:t xml:space="preserve">4 </w:t>
      </w:r>
      <w:proofErr w:type="spellStart"/>
      <w:r w:rsidRPr="00044FDF">
        <w:rPr>
          <w:rFonts w:eastAsiaTheme="minorHAnsi"/>
          <w:sz w:val="24"/>
          <w:szCs w:val="24"/>
        </w:rPr>
        <w:t>Bruhn,M</w:t>
      </w:r>
      <w:proofErr w:type="spellEnd"/>
      <w:r w:rsidRPr="00044FDF">
        <w:rPr>
          <w:rFonts w:eastAsiaTheme="minorHAnsi"/>
          <w:sz w:val="24"/>
          <w:szCs w:val="24"/>
        </w:rPr>
        <w:t xml:space="preserve">. </w:t>
      </w:r>
      <w:proofErr w:type="spellStart"/>
      <w:r w:rsidRPr="00044FDF">
        <w:rPr>
          <w:rFonts w:eastAsiaTheme="minorHAnsi"/>
          <w:sz w:val="24"/>
          <w:szCs w:val="24"/>
        </w:rPr>
        <w:t>Kommunikationspolitik:Grundlagen</w:t>
      </w:r>
      <w:proofErr w:type="spellEnd"/>
      <w:r w:rsidRPr="00044FDF">
        <w:rPr>
          <w:rFonts w:eastAsiaTheme="minorHAnsi"/>
          <w:sz w:val="24"/>
          <w:szCs w:val="24"/>
        </w:rPr>
        <w:t xml:space="preserve"> </w:t>
      </w:r>
      <w:proofErr w:type="spellStart"/>
      <w:r w:rsidRPr="00044FDF">
        <w:rPr>
          <w:rFonts w:eastAsiaTheme="minorHAnsi"/>
          <w:sz w:val="24"/>
          <w:szCs w:val="24"/>
        </w:rPr>
        <w:t>und</w:t>
      </w:r>
      <w:proofErr w:type="spellEnd"/>
      <w:r w:rsidRPr="00044FDF">
        <w:rPr>
          <w:rFonts w:eastAsiaTheme="minorHAnsi"/>
          <w:sz w:val="24"/>
          <w:szCs w:val="24"/>
        </w:rPr>
        <w:t xml:space="preserve"> </w:t>
      </w:r>
      <w:proofErr w:type="spellStart"/>
      <w:r w:rsidRPr="00044FDF">
        <w:rPr>
          <w:rFonts w:eastAsiaTheme="minorHAnsi"/>
          <w:sz w:val="24"/>
          <w:szCs w:val="24"/>
        </w:rPr>
        <w:t>Instrumente</w:t>
      </w:r>
      <w:proofErr w:type="spellEnd"/>
      <w:r w:rsidRPr="00044FDF">
        <w:rPr>
          <w:rFonts w:eastAsiaTheme="minorHAnsi"/>
          <w:sz w:val="24"/>
          <w:szCs w:val="24"/>
        </w:rPr>
        <w:t xml:space="preserve"> </w:t>
      </w:r>
      <w:proofErr w:type="spellStart"/>
      <w:r w:rsidRPr="00044FDF">
        <w:rPr>
          <w:rFonts w:eastAsiaTheme="minorHAnsi"/>
          <w:sz w:val="24"/>
          <w:szCs w:val="24"/>
        </w:rPr>
        <w:t>der</w:t>
      </w:r>
      <w:proofErr w:type="spellEnd"/>
      <w:r w:rsidRPr="00044FDF">
        <w:rPr>
          <w:rFonts w:eastAsiaTheme="minorHAnsi"/>
          <w:sz w:val="24"/>
          <w:szCs w:val="24"/>
        </w:rPr>
        <w:t xml:space="preserve"> </w:t>
      </w:r>
      <w:proofErr w:type="spellStart"/>
      <w:r w:rsidRPr="00044FDF">
        <w:rPr>
          <w:rFonts w:eastAsiaTheme="minorHAnsi"/>
          <w:sz w:val="24"/>
          <w:szCs w:val="24"/>
        </w:rPr>
        <w:t>Unternehmenskommunikation</w:t>
      </w:r>
      <w:proofErr w:type="spellEnd"/>
      <w:r w:rsidRPr="00044FDF">
        <w:rPr>
          <w:rFonts w:eastAsiaTheme="minorHAnsi"/>
          <w:sz w:val="24"/>
          <w:szCs w:val="24"/>
        </w:rPr>
        <w:t xml:space="preserve">. </w:t>
      </w:r>
      <w:proofErr w:type="spellStart"/>
      <w:r w:rsidRPr="00044FDF">
        <w:rPr>
          <w:rFonts w:eastAsiaTheme="minorHAnsi"/>
          <w:sz w:val="24"/>
          <w:szCs w:val="24"/>
        </w:rPr>
        <w:t>Springer</w:t>
      </w:r>
      <w:proofErr w:type="spellEnd"/>
      <w:r w:rsidRPr="00044FDF">
        <w:rPr>
          <w:rFonts w:eastAsiaTheme="minorHAnsi"/>
          <w:sz w:val="24"/>
          <w:szCs w:val="24"/>
        </w:rPr>
        <w:t xml:space="preserve"> </w:t>
      </w:r>
      <w:proofErr w:type="spellStart"/>
      <w:r w:rsidRPr="00044FDF">
        <w:rPr>
          <w:rFonts w:eastAsiaTheme="minorHAnsi"/>
          <w:sz w:val="24"/>
          <w:szCs w:val="24"/>
        </w:rPr>
        <w:t>Gabler</w:t>
      </w:r>
      <w:proofErr w:type="spellEnd"/>
      <w:r w:rsidRPr="00044FDF">
        <w:rPr>
          <w:rFonts w:eastAsiaTheme="minorHAnsi"/>
          <w:sz w:val="24"/>
          <w:szCs w:val="24"/>
        </w:rPr>
        <w:t>, 2021.-330S</w:t>
      </w:r>
    </w:p>
    <w:p w:rsidR="0093427D" w:rsidRPr="0093427D" w:rsidRDefault="0093427D" w:rsidP="0093427D">
      <w:pPr>
        <w:spacing w:after="200" w:line="276" w:lineRule="auto"/>
        <w:ind w:left="7513" w:hanging="6946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sectPr w:rsidR="0093427D" w:rsidRPr="009342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7D"/>
    <w:rsid w:val="00044FDF"/>
    <w:rsid w:val="007E1D4B"/>
    <w:rsid w:val="0093427D"/>
    <w:rsid w:val="00E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2C83"/>
  <w15:chartTrackingRefBased/>
  <w15:docId w15:val="{38F8761C-1332-40F8-9B85-C346BE18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27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342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1521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2025-02-03T08:44:00Z</dcterms:created>
  <dcterms:modified xsi:type="dcterms:W3CDTF">2025-02-03T09:04:00Z</dcterms:modified>
</cp:coreProperties>
</file>