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2C81" w:rsidRDefault="00182C81" w:rsidP="00182C81">
      <w:pPr>
        <w:pStyle w:val="a3"/>
        <w:spacing w:before="70"/>
        <w:ind w:left="8436"/>
      </w:pPr>
      <w:r>
        <w:t>Додаток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:rsidR="00182C81" w:rsidRDefault="00182C81" w:rsidP="00182C81">
      <w:pPr>
        <w:pStyle w:val="a3"/>
        <w:spacing w:before="116" w:line="278" w:lineRule="auto"/>
        <w:ind w:left="3191" w:right="1537" w:hanging="1127"/>
      </w:pPr>
      <w:r>
        <w:t>Інформація</w:t>
      </w:r>
      <w:r>
        <w:rPr>
          <w:spacing w:val="-10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вибіркову</w:t>
      </w:r>
      <w:r>
        <w:rPr>
          <w:spacing w:val="-7"/>
        </w:rPr>
        <w:t xml:space="preserve"> </w:t>
      </w:r>
      <w:r>
        <w:t>навчальну</w:t>
      </w:r>
      <w:r>
        <w:rPr>
          <w:spacing w:val="-9"/>
        </w:rPr>
        <w:t xml:space="preserve"> </w:t>
      </w:r>
      <w:r>
        <w:t>дисципліну циклу професійної підготовки</w:t>
      </w:r>
    </w:p>
    <w:p w:rsidR="00182C81" w:rsidRDefault="00182C81" w:rsidP="00182C81">
      <w:pPr>
        <w:pStyle w:val="a3"/>
        <w:spacing w:line="275" w:lineRule="exact"/>
        <w:ind w:left="977" w:right="1297"/>
        <w:jc w:val="center"/>
      </w:pPr>
      <w:r>
        <w:t>для</w:t>
      </w:r>
      <w:r>
        <w:rPr>
          <w:spacing w:val="-8"/>
        </w:rPr>
        <w:t xml:space="preserve"> </w:t>
      </w:r>
      <w:r>
        <w:t>«Кафедрального</w:t>
      </w:r>
      <w:r>
        <w:rPr>
          <w:spacing w:val="-7"/>
        </w:rPr>
        <w:t xml:space="preserve"> </w:t>
      </w:r>
      <w:r>
        <w:t>каталогу</w:t>
      </w:r>
      <w:r>
        <w:rPr>
          <w:spacing w:val="-6"/>
        </w:rPr>
        <w:t xml:space="preserve"> </w:t>
      </w:r>
      <w:r>
        <w:t>вибіркових</w:t>
      </w:r>
      <w:r>
        <w:rPr>
          <w:spacing w:val="-8"/>
        </w:rPr>
        <w:t xml:space="preserve"> </w:t>
      </w:r>
      <w:r>
        <w:t>навчальних</w:t>
      </w:r>
      <w:r>
        <w:rPr>
          <w:spacing w:val="-6"/>
        </w:rPr>
        <w:t xml:space="preserve"> </w:t>
      </w:r>
      <w:r>
        <w:rPr>
          <w:spacing w:val="-2"/>
        </w:rPr>
        <w:t>дисциплін»</w:t>
      </w:r>
    </w:p>
    <w:p w:rsidR="00182C81" w:rsidRDefault="00182C81" w:rsidP="00182C81">
      <w:pPr>
        <w:pStyle w:val="a3"/>
        <w:ind w:left="2013" w:right="2332"/>
        <w:jc w:val="center"/>
      </w:pPr>
      <w:r>
        <w:t>на</w:t>
      </w:r>
      <w:r>
        <w:rPr>
          <w:spacing w:val="-5"/>
        </w:rPr>
        <w:t xml:space="preserve"> </w:t>
      </w:r>
      <w:r>
        <w:t>2022/2023</w:t>
      </w:r>
      <w:r>
        <w:rPr>
          <w:spacing w:val="-7"/>
        </w:rPr>
        <w:t xml:space="preserve"> </w:t>
      </w:r>
      <w:r>
        <w:t>навчальний</w:t>
      </w:r>
      <w:r>
        <w:rPr>
          <w:spacing w:val="-6"/>
        </w:rPr>
        <w:t xml:space="preserve"> </w:t>
      </w:r>
      <w:r>
        <w:rPr>
          <w:spacing w:val="-5"/>
        </w:rPr>
        <w:t>рік</w:t>
      </w:r>
    </w:p>
    <w:p w:rsidR="00182C81" w:rsidRDefault="00182C81" w:rsidP="00182C81">
      <w:pPr>
        <w:pStyle w:val="a3"/>
        <w:spacing w:before="3"/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182C81" w:rsidTr="00910BE2">
        <w:trPr>
          <w:trHeight w:val="323"/>
        </w:trPr>
        <w:tc>
          <w:tcPr>
            <w:tcW w:w="4117" w:type="dxa"/>
          </w:tcPr>
          <w:p w:rsidR="00182C81" w:rsidRDefault="00182C81" w:rsidP="00910BE2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Назва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дисципліни</w:t>
            </w:r>
            <w:proofErr w:type="spellEnd"/>
          </w:p>
        </w:tc>
        <w:tc>
          <w:tcPr>
            <w:tcW w:w="5635" w:type="dxa"/>
          </w:tcPr>
          <w:p w:rsidR="00182C81" w:rsidRPr="006F2DB1" w:rsidRDefault="00182C81" w:rsidP="00910BE2">
            <w:pPr>
              <w:pStyle w:val="TableParagraph"/>
              <w:ind w:left="0"/>
              <w:rPr>
                <w:sz w:val="28"/>
                <w:szCs w:val="28"/>
              </w:rPr>
            </w:pPr>
            <w:r w:rsidRPr="006F2DB1">
              <w:rPr>
                <w:b/>
                <w:sz w:val="28"/>
                <w:szCs w:val="28"/>
                <w:lang w:val="uk-UA"/>
              </w:rPr>
              <w:t>«</w:t>
            </w:r>
            <w:bookmarkStart w:id="0" w:name="_GoBack"/>
            <w:r w:rsidRPr="006F2DB1">
              <w:rPr>
                <w:b/>
                <w:sz w:val="28"/>
                <w:szCs w:val="28"/>
                <w:lang w:val="uk-UA"/>
              </w:rPr>
              <w:t>Прояви захворювань органів і систем на слизовій оболонці порожнини рота</w:t>
            </w:r>
            <w:bookmarkEnd w:id="0"/>
            <w:r w:rsidRPr="006F2DB1">
              <w:rPr>
                <w:b/>
                <w:sz w:val="28"/>
                <w:szCs w:val="28"/>
                <w:lang w:val="uk-UA"/>
              </w:rPr>
              <w:t>»</w:t>
            </w:r>
            <w:r w:rsidR="00DE51AB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82C81" w:rsidTr="00910BE2">
        <w:trPr>
          <w:trHeight w:val="321"/>
        </w:trPr>
        <w:tc>
          <w:tcPr>
            <w:tcW w:w="4117" w:type="dxa"/>
          </w:tcPr>
          <w:p w:rsidR="00182C81" w:rsidRDefault="00182C81" w:rsidP="00910BE2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Рівень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вищої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освіти</w:t>
            </w:r>
            <w:proofErr w:type="spellEnd"/>
          </w:p>
        </w:tc>
        <w:tc>
          <w:tcPr>
            <w:tcW w:w="5635" w:type="dxa"/>
          </w:tcPr>
          <w:p w:rsidR="00182C81" w:rsidRPr="007100DF" w:rsidRDefault="007100DF" w:rsidP="00910BE2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магістр</w:t>
            </w:r>
          </w:p>
        </w:tc>
      </w:tr>
      <w:tr w:rsidR="00182C81" w:rsidTr="00910BE2">
        <w:trPr>
          <w:trHeight w:val="321"/>
        </w:trPr>
        <w:tc>
          <w:tcPr>
            <w:tcW w:w="4117" w:type="dxa"/>
          </w:tcPr>
          <w:p w:rsidR="00182C81" w:rsidRDefault="00182C81" w:rsidP="00910BE2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Курс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рік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навчання</w:t>
            </w:r>
            <w:proofErr w:type="spellEnd"/>
          </w:p>
        </w:tc>
        <w:tc>
          <w:tcPr>
            <w:tcW w:w="5635" w:type="dxa"/>
          </w:tcPr>
          <w:p w:rsidR="00182C81" w:rsidRPr="00584B57" w:rsidRDefault="00584B57" w:rsidP="00910BE2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182C81" w:rsidTr="00910BE2">
        <w:trPr>
          <w:trHeight w:val="323"/>
        </w:trPr>
        <w:tc>
          <w:tcPr>
            <w:tcW w:w="4117" w:type="dxa"/>
          </w:tcPr>
          <w:p w:rsidR="00182C81" w:rsidRDefault="00182C81" w:rsidP="00910BE2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Семестр</w:t>
            </w:r>
            <w:proofErr w:type="spellEnd"/>
          </w:p>
        </w:tc>
        <w:tc>
          <w:tcPr>
            <w:tcW w:w="5635" w:type="dxa"/>
          </w:tcPr>
          <w:p w:rsidR="00182C81" w:rsidRPr="00584B57" w:rsidRDefault="00584B57" w:rsidP="00910BE2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9,  10</w:t>
            </w:r>
          </w:p>
        </w:tc>
      </w:tr>
      <w:tr w:rsidR="00182C81" w:rsidTr="00910BE2">
        <w:trPr>
          <w:trHeight w:val="321"/>
        </w:trPr>
        <w:tc>
          <w:tcPr>
            <w:tcW w:w="4117" w:type="dxa"/>
          </w:tcPr>
          <w:p w:rsidR="00182C81" w:rsidRDefault="00182C81" w:rsidP="00910BE2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Обсяг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дисципліни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кредитах</w:t>
            </w:r>
            <w:proofErr w:type="spellEnd"/>
            <w:r>
              <w:rPr>
                <w:spacing w:val="-2"/>
                <w:sz w:val="28"/>
              </w:rPr>
              <w:t>*</w:t>
            </w:r>
          </w:p>
        </w:tc>
        <w:tc>
          <w:tcPr>
            <w:tcW w:w="5635" w:type="dxa"/>
          </w:tcPr>
          <w:p w:rsidR="00182C81" w:rsidRPr="006F2DB1" w:rsidRDefault="00584B57" w:rsidP="00A30F85">
            <w:pPr>
              <w:pStyle w:val="TableParagraph"/>
              <w:spacing w:line="301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182C81" w:rsidRPr="006F2DB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="00182C81" w:rsidRPr="006F2DB1">
              <w:rPr>
                <w:sz w:val="28"/>
                <w:szCs w:val="28"/>
              </w:rPr>
              <w:t>кредити</w:t>
            </w:r>
            <w:proofErr w:type="spellEnd"/>
            <w:r w:rsidR="00182C81" w:rsidRPr="006F2DB1">
              <w:rPr>
                <w:spacing w:val="-1"/>
                <w:sz w:val="28"/>
                <w:szCs w:val="28"/>
              </w:rPr>
              <w:t xml:space="preserve"> </w:t>
            </w:r>
            <w:r w:rsidR="00182C81" w:rsidRPr="006F2DB1">
              <w:rPr>
                <w:spacing w:val="-4"/>
                <w:sz w:val="28"/>
                <w:szCs w:val="28"/>
              </w:rPr>
              <w:t>ЄКТС</w:t>
            </w:r>
          </w:p>
        </w:tc>
      </w:tr>
      <w:tr w:rsidR="00182C81" w:rsidTr="00910BE2">
        <w:trPr>
          <w:trHeight w:val="321"/>
        </w:trPr>
        <w:tc>
          <w:tcPr>
            <w:tcW w:w="4117" w:type="dxa"/>
          </w:tcPr>
          <w:p w:rsidR="00182C81" w:rsidRDefault="00182C81" w:rsidP="00910BE2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Мова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викладання</w:t>
            </w:r>
            <w:proofErr w:type="spellEnd"/>
          </w:p>
        </w:tc>
        <w:tc>
          <w:tcPr>
            <w:tcW w:w="5635" w:type="dxa"/>
          </w:tcPr>
          <w:p w:rsidR="00182C81" w:rsidRPr="006F2DB1" w:rsidRDefault="00182C81" w:rsidP="00910BE2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6F2DB1">
              <w:rPr>
                <w:sz w:val="28"/>
                <w:szCs w:val="28"/>
              </w:rPr>
              <w:t>українська</w:t>
            </w:r>
            <w:proofErr w:type="spellEnd"/>
          </w:p>
        </w:tc>
      </w:tr>
      <w:tr w:rsidR="00182C81" w:rsidTr="00910BE2">
        <w:trPr>
          <w:trHeight w:val="626"/>
        </w:trPr>
        <w:tc>
          <w:tcPr>
            <w:tcW w:w="4117" w:type="dxa"/>
          </w:tcPr>
          <w:p w:rsidR="00182C81" w:rsidRDefault="00182C81" w:rsidP="00910BE2">
            <w:pPr>
              <w:pStyle w:val="TableParagraph"/>
              <w:spacing w:line="31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Передумови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вивчення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дисципліни</w:t>
            </w:r>
            <w:proofErr w:type="spellEnd"/>
          </w:p>
        </w:tc>
        <w:tc>
          <w:tcPr>
            <w:tcW w:w="5635" w:type="dxa"/>
          </w:tcPr>
          <w:p w:rsidR="00182C81" w:rsidRPr="006F2DB1" w:rsidRDefault="00182C81" w:rsidP="00910BE2">
            <w:pPr>
              <w:jc w:val="both"/>
              <w:rPr>
                <w:snapToGrid w:val="0"/>
                <w:sz w:val="28"/>
                <w:szCs w:val="28"/>
                <w:lang w:val="uk-UA"/>
              </w:rPr>
            </w:pPr>
            <w:r>
              <w:rPr>
                <w:snapToGrid w:val="0"/>
                <w:sz w:val="28"/>
                <w:szCs w:val="28"/>
              </w:rPr>
              <w:t>О</w:t>
            </w:r>
            <w:r w:rsidRPr="006F2DB1">
              <w:rPr>
                <w:snapToGrid w:val="0"/>
                <w:sz w:val="28"/>
                <w:szCs w:val="28"/>
                <w:lang w:val="uk-UA"/>
              </w:rPr>
              <w:t xml:space="preserve">знайомлення студентів з систематикою захворювань слизової оболонки порожнини рота (СОПР), первинними ураженнями ротової порожнини (травматичними, професійними, </w:t>
            </w:r>
            <w:proofErr w:type="spellStart"/>
            <w:r w:rsidRPr="006F2DB1">
              <w:rPr>
                <w:snapToGrid w:val="0"/>
                <w:sz w:val="28"/>
                <w:szCs w:val="28"/>
                <w:lang w:val="uk-UA"/>
              </w:rPr>
              <w:t>аутоінфекційними</w:t>
            </w:r>
            <w:proofErr w:type="spellEnd"/>
            <w:r w:rsidRPr="006F2DB1">
              <w:rPr>
                <w:snapToGrid w:val="0"/>
                <w:sz w:val="28"/>
                <w:szCs w:val="28"/>
                <w:lang w:val="uk-UA"/>
              </w:rPr>
              <w:t>), вторинними ураженнями СОПР (</w:t>
            </w:r>
            <w:r w:rsidRPr="006F2DB1">
              <w:rPr>
                <w:snapToGrid w:val="0"/>
                <w:sz w:val="28"/>
                <w:szCs w:val="28"/>
              </w:rPr>
              <w:t>torch</w:t>
            </w:r>
            <w:r w:rsidRPr="006F2DB1">
              <w:rPr>
                <w:snapToGrid w:val="0"/>
                <w:sz w:val="28"/>
                <w:szCs w:val="28"/>
                <w:lang w:val="uk-UA"/>
              </w:rPr>
              <w:t xml:space="preserve">-інфекції, бактеріальні і вірусні ураження), змінами СОПР при системних захворюваннях, алергії, </w:t>
            </w:r>
            <w:proofErr w:type="spellStart"/>
            <w:r w:rsidRPr="006F2DB1">
              <w:rPr>
                <w:snapToGrid w:val="0"/>
                <w:sz w:val="28"/>
                <w:szCs w:val="28"/>
                <w:lang w:val="uk-UA"/>
              </w:rPr>
              <w:t>передраках</w:t>
            </w:r>
            <w:proofErr w:type="spellEnd"/>
            <w:r w:rsidRPr="006F2DB1">
              <w:rPr>
                <w:snapToGrid w:val="0"/>
                <w:sz w:val="28"/>
                <w:szCs w:val="28"/>
                <w:lang w:val="uk-UA"/>
              </w:rPr>
              <w:t>).</w:t>
            </w:r>
          </w:p>
          <w:p w:rsidR="00182C81" w:rsidRPr="006F2DB1" w:rsidRDefault="00182C81" w:rsidP="00910BE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82C81" w:rsidTr="00910BE2">
        <w:trPr>
          <w:trHeight w:val="623"/>
        </w:trPr>
        <w:tc>
          <w:tcPr>
            <w:tcW w:w="4117" w:type="dxa"/>
          </w:tcPr>
          <w:p w:rsidR="00182C81" w:rsidRDefault="00182C81" w:rsidP="00910BE2">
            <w:pPr>
              <w:pStyle w:val="TableParagraph"/>
              <w:spacing w:line="31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Кафедра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яка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забезпечує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викладання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дисципліни</w:t>
            </w:r>
            <w:proofErr w:type="spellEnd"/>
          </w:p>
        </w:tc>
        <w:tc>
          <w:tcPr>
            <w:tcW w:w="5635" w:type="dxa"/>
          </w:tcPr>
          <w:p w:rsidR="00182C81" w:rsidRPr="006F2DB1" w:rsidRDefault="00182C81" w:rsidP="00910BE2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6F2DB1">
              <w:rPr>
                <w:sz w:val="28"/>
                <w:szCs w:val="28"/>
              </w:rPr>
              <w:t>Терапевтичної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стоматології</w:t>
            </w:r>
            <w:proofErr w:type="spellEnd"/>
          </w:p>
        </w:tc>
      </w:tr>
      <w:tr w:rsidR="00182C81" w:rsidTr="00910BE2">
        <w:trPr>
          <w:trHeight w:val="321"/>
        </w:trPr>
        <w:tc>
          <w:tcPr>
            <w:tcW w:w="4117" w:type="dxa"/>
          </w:tcPr>
          <w:p w:rsidR="00182C81" w:rsidRDefault="00182C81" w:rsidP="00910BE2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Інформаційне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забезпечення</w:t>
            </w:r>
            <w:proofErr w:type="spellEnd"/>
          </w:p>
        </w:tc>
        <w:tc>
          <w:tcPr>
            <w:tcW w:w="5635" w:type="dxa"/>
          </w:tcPr>
          <w:p w:rsidR="00182C81" w:rsidRPr="006F2DB1" w:rsidRDefault="00182C81" w:rsidP="00910BE2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6F2DB1">
              <w:rPr>
                <w:sz w:val="28"/>
                <w:szCs w:val="28"/>
              </w:rPr>
              <w:t>Методичні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рекомендації</w:t>
            </w:r>
            <w:proofErr w:type="spellEnd"/>
          </w:p>
        </w:tc>
      </w:tr>
      <w:tr w:rsidR="00182C81" w:rsidTr="00910BE2">
        <w:trPr>
          <w:trHeight w:val="321"/>
        </w:trPr>
        <w:tc>
          <w:tcPr>
            <w:tcW w:w="4117" w:type="dxa"/>
          </w:tcPr>
          <w:p w:rsidR="00182C81" w:rsidRDefault="00182C81" w:rsidP="00910BE2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Форма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проведення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занять</w:t>
            </w:r>
            <w:proofErr w:type="spellEnd"/>
          </w:p>
        </w:tc>
        <w:tc>
          <w:tcPr>
            <w:tcW w:w="5635" w:type="dxa"/>
          </w:tcPr>
          <w:p w:rsidR="00182C81" w:rsidRPr="006F2DB1" w:rsidRDefault="00182C81" w:rsidP="00910BE2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6F2DB1">
              <w:rPr>
                <w:sz w:val="28"/>
                <w:szCs w:val="28"/>
              </w:rPr>
              <w:t>Практичні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заняття</w:t>
            </w:r>
            <w:proofErr w:type="spellEnd"/>
          </w:p>
        </w:tc>
      </w:tr>
      <w:tr w:rsidR="00182C81" w:rsidTr="00910BE2">
        <w:trPr>
          <w:trHeight w:val="966"/>
        </w:trPr>
        <w:tc>
          <w:tcPr>
            <w:tcW w:w="4117" w:type="dxa"/>
          </w:tcPr>
          <w:p w:rsidR="00182C81" w:rsidRDefault="00182C81" w:rsidP="00910BE2">
            <w:pPr>
              <w:pStyle w:val="TableParagraph"/>
              <w:spacing w:line="242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Ключові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результати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навчання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знання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уміння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інші</w:t>
            </w:r>
            <w:proofErr w:type="spellEnd"/>
          </w:p>
          <w:p w:rsidR="00182C81" w:rsidRDefault="00182C81" w:rsidP="00910BE2">
            <w:pPr>
              <w:pStyle w:val="TableParagraph"/>
              <w:spacing w:line="296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компетентності</w:t>
            </w:r>
            <w:proofErr w:type="spellEnd"/>
            <w:r>
              <w:rPr>
                <w:spacing w:val="-2"/>
                <w:sz w:val="28"/>
              </w:rPr>
              <w:t>):</w:t>
            </w:r>
          </w:p>
        </w:tc>
        <w:tc>
          <w:tcPr>
            <w:tcW w:w="5635" w:type="dxa"/>
          </w:tcPr>
          <w:p w:rsidR="00182C81" w:rsidRPr="006F2DB1" w:rsidRDefault="00182C81" w:rsidP="00910BE2">
            <w:pPr>
              <w:pStyle w:val="a6"/>
              <w:rPr>
                <w:sz w:val="28"/>
                <w:szCs w:val="28"/>
              </w:rPr>
            </w:pPr>
            <w:proofErr w:type="spellStart"/>
            <w:r w:rsidRPr="006F2DB1">
              <w:rPr>
                <w:sz w:val="28"/>
                <w:szCs w:val="28"/>
              </w:rPr>
              <w:t>Відповідно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до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освітньої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програми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вивчення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дисципліни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сприяє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формуванню</w:t>
            </w:r>
            <w:proofErr w:type="spellEnd"/>
            <w:r w:rsidRPr="006F2DB1">
              <w:rPr>
                <w:sz w:val="28"/>
                <w:szCs w:val="28"/>
              </w:rPr>
              <w:t xml:space="preserve"> у </w:t>
            </w:r>
            <w:proofErr w:type="spellStart"/>
            <w:r w:rsidRPr="006F2DB1">
              <w:rPr>
                <w:sz w:val="28"/>
                <w:szCs w:val="28"/>
              </w:rPr>
              <w:t>здобувачів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вищої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освіти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таких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компетентностей</w:t>
            </w:r>
            <w:proofErr w:type="spellEnd"/>
            <w:r w:rsidRPr="006F2DB1">
              <w:rPr>
                <w:sz w:val="28"/>
                <w:szCs w:val="28"/>
              </w:rPr>
              <w:t>:</w:t>
            </w:r>
          </w:p>
          <w:p w:rsidR="00182C81" w:rsidRPr="006F2DB1" w:rsidRDefault="00182C81" w:rsidP="00910BE2">
            <w:pPr>
              <w:pStyle w:val="a6"/>
              <w:rPr>
                <w:b/>
                <w:sz w:val="28"/>
                <w:szCs w:val="28"/>
              </w:rPr>
            </w:pPr>
            <w:proofErr w:type="spellStart"/>
            <w:r w:rsidRPr="006F2DB1">
              <w:rPr>
                <w:b/>
                <w:i/>
                <w:sz w:val="28"/>
                <w:szCs w:val="28"/>
              </w:rPr>
              <w:t>інтегральна</w:t>
            </w:r>
            <w:proofErr w:type="spellEnd"/>
            <w:r w:rsidRPr="006F2DB1">
              <w:rPr>
                <w:b/>
                <w:i/>
                <w:sz w:val="28"/>
                <w:szCs w:val="28"/>
              </w:rPr>
              <w:t>:</w:t>
            </w:r>
            <w:r w:rsidRPr="006F2DB1">
              <w:rPr>
                <w:b/>
                <w:sz w:val="28"/>
                <w:szCs w:val="28"/>
              </w:rPr>
              <w:t xml:space="preserve"> </w:t>
            </w:r>
          </w:p>
          <w:p w:rsidR="00182C81" w:rsidRPr="006F2DB1" w:rsidRDefault="00182C81" w:rsidP="00910BE2">
            <w:pPr>
              <w:pStyle w:val="a6"/>
              <w:rPr>
                <w:b/>
                <w:i/>
                <w:sz w:val="28"/>
                <w:szCs w:val="28"/>
              </w:rPr>
            </w:pPr>
            <w:proofErr w:type="spellStart"/>
            <w:r w:rsidRPr="006F2DB1">
              <w:rPr>
                <w:b/>
                <w:i/>
                <w:sz w:val="28"/>
                <w:szCs w:val="28"/>
              </w:rPr>
              <w:t>спеціальні</w:t>
            </w:r>
            <w:proofErr w:type="spellEnd"/>
            <w:r w:rsidRPr="006F2DB1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b/>
                <w:i/>
                <w:sz w:val="28"/>
                <w:szCs w:val="28"/>
              </w:rPr>
              <w:t>предметні</w:t>
            </w:r>
            <w:proofErr w:type="spellEnd"/>
            <w:r w:rsidRPr="006F2DB1">
              <w:rPr>
                <w:b/>
                <w:i/>
                <w:sz w:val="28"/>
                <w:szCs w:val="28"/>
              </w:rPr>
              <w:t xml:space="preserve">): </w:t>
            </w:r>
            <w:proofErr w:type="spellStart"/>
            <w:r w:rsidRPr="006F2DB1">
              <w:rPr>
                <w:b/>
                <w:i/>
                <w:sz w:val="28"/>
                <w:szCs w:val="28"/>
              </w:rPr>
              <w:t>загальні</w:t>
            </w:r>
            <w:proofErr w:type="spellEnd"/>
            <w:r w:rsidRPr="006F2DB1">
              <w:rPr>
                <w:b/>
                <w:i/>
                <w:sz w:val="28"/>
                <w:szCs w:val="28"/>
              </w:rPr>
              <w:t xml:space="preserve"> (ЗК): </w:t>
            </w:r>
          </w:p>
          <w:p w:rsidR="00182C81" w:rsidRPr="006F2DB1" w:rsidRDefault="00182C81" w:rsidP="00910BE2">
            <w:pPr>
              <w:pStyle w:val="a6"/>
              <w:rPr>
                <w:b/>
                <w:i/>
                <w:sz w:val="28"/>
                <w:szCs w:val="28"/>
              </w:rPr>
            </w:pPr>
            <w:proofErr w:type="spellStart"/>
            <w:r w:rsidRPr="006F2DB1">
              <w:rPr>
                <w:b/>
                <w:i/>
                <w:sz w:val="28"/>
                <w:szCs w:val="28"/>
              </w:rPr>
              <w:t>фахові</w:t>
            </w:r>
            <w:proofErr w:type="spellEnd"/>
            <w:r w:rsidRPr="006F2DB1">
              <w:rPr>
                <w:b/>
                <w:i/>
                <w:sz w:val="28"/>
                <w:szCs w:val="28"/>
              </w:rPr>
              <w:t xml:space="preserve"> </w:t>
            </w:r>
          </w:p>
          <w:p w:rsidR="00182C81" w:rsidRPr="006F2DB1" w:rsidRDefault="00182C81" w:rsidP="00910BE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82C81" w:rsidTr="00910BE2">
        <w:trPr>
          <w:trHeight w:val="643"/>
        </w:trPr>
        <w:tc>
          <w:tcPr>
            <w:tcW w:w="4117" w:type="dxa"/>
          </w:tcPr>
          <w:p w:rsidR="00182C81" w:rsidRDefault="00182C81" w:rsidP="00910BE2">
            <w:pPr>
              <w:pStyle w:val="TableParagraph"/>
              <w:spacing w:line="32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Короткий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зміст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дисципліни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що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буде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вивчатися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перелік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тем</w:t>
            </w:r>
            <w:proofErr w:type="spellEnd"/>
            <w:r>
              <w:rPr>
                <w:sz w:val="28"/>
              </w:rPr>
              <w:t>):</w:t>
            </w:r>
          </w:p>
        </w:tc>
        <w:tc>
          <w:tcPr>
            <w:tcW w:w="5635" w:type="dxa"/>
          </w:tcPr>
          <w:p w:rsidR="00584B57" w:rsidRPr="00584B57" w:rsidRDefault="00584B57" w:rsidP="00584B57">
            <w:pPr>
              <w:pStyle w:val="a5"/>
              <w:ind w:left="709" w:right="0"/>
              <w:rPr>
                <w:b/>
                <w:bCs/>
                <w:sz w:val="28"/>
                <w:szCs w:val="28"/>
                <w:lang w:val="uk-UA"/>
              </w:rPr>
            </w:pPr>
            <w:r w:rsidRPr="00584B57">
              <w:rPr>
                <w:b/>
                <w:bCs/>
                <w:sz w:val="28"/>
                <w:szCs w:val="28"/>
                <w:lang w:val="uk-UA"/>
              </w:rPr>
              <w:t>ТЕМАТИЧНИЙ ПЛАН</w:t>
            </w:r>
          </w:p>
          <w:p w:rsidR="00182C81" w:rsidRPr="006F2DB1" w:rsidRDefault="00182C81" w:rsidP="00182C81">
            <w:pPr>
              <w:pStyle w:val="a5"/>
              <w:numPr>
                <w:ilvl w:val="0"/>
                <w:numId w:val="1"/>
              </w:numPr>
              <w:ind w:left="0" w:right="0" w:firstLine="709"/>
              <w:rPr>
                <w:sz w:val="28"/>
                <w:szCs w:val="28"/>
              </w:rPr>
            </w:pPr>
            <w:proofErr w:type="spellStart"/>
            <w:r w:rsidRPr="006F2DB1">
              <w:rPr>
                <w:sz w:val="28"/>
                <w:szCs w:val="28"/>
              </w:rPr>
              <w:t>Слизова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оболонка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порожнини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рота</w:t>
            </w:r>
            <w:proofErr w:type="spellEnd"/>
            <w:r w:rsidRPr="006F2DB1">
              <w:rPr>
                <w:sz w:val="28"/>
                <w:szCs w:val="28"/>
              </w:rPr>
              <w:t xml:space="preserve"> (СОПР). </w:t>
            </w:r>
            <w:proofErr w:type="spellStart"/>
            <w:r w:rsidRPr="006F2DB1">
              <w:rPr>
                <w:sz w:val="28"/>
                <w:szCs w:val="28"/>
              </w:rPr>
              <w:t>Будова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функції</w:t>
            </w:r>
            <w:proofErr w:type="spellEnd"/>
            <w:r w:rsidRPr="006F2DB1">
              <w:rPr>
                <w:sz w:val="28"/>
                <w:szCs w:val="28"/>
              </w:rPr>
              <w:t xml:space="preserve">. </w:t>
            </w:r>
            <w:proofErr w:type="spellStart"/>
            <w:r w:rsidRPr="006F2DB1">
              <w:rPr>
                <w:sz w:val="28"/>
                <w:szCs w:val="28"/>
              </w:rPr>
              <w:t>Патологічні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процеси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що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виникають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на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слизовій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оболонці</w:t>
            </w:r>
            <w:proofErr w:type="spellEnd"/>
            <w:r w:rsidRPr="006F2DB1">
              <w:rPr>
                <w:sz w:val="28"/>
                <w:szCs w:val="28"/>
              </w:rPr>
              <w:t xml:space="preserve">. </w:t>
            </w:r>
            <w:proofErr w:type="spellStart"/>
            <w:r w:rsidRPr="006F2DB1">
              <w:rPr>
                <w:sz w:val="28"/>
                <w:szCs w:val="28"/>
              </w:rPr>
              <w:t>Первинні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та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вторинні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елементи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ураження</w:t>
            </w:r>
            <w:proofErr w:type="spellEnd"/>
            <w:r w:rsidRPr="006F2DB1">
              <w:rPr>
                <w:sz w:val="28"/>
                <w:szCs w:val="28"/>
              </w:rPr>
              <w:t xml:space="preserve"> СОПР. </w:t>
            </w:r>
            <w:proofErr w:type="spellStart"/>
            <w:r w:rsidRPr="006F2DB1">
              <w:rPr>
                <w:sz w:val="28"/>
                <w:szCs w:val="28"/>
              </w:rPr>
              <w:t>Методи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обстеження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хворих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із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захворюваннями</w:t>
            </w:r>
            <w:proofErr w:type="spellEnd"/>
            <w:r w:rsidRPr="006F2DB1">
              <w:rPr>
                <w:sz w:val="28"/>
                <w:szCs w:val="28"/>
              </w:rPr>
              <w:t xml:space="preserve"> СОПР </w:t>
            </w:r>
            <w:proofErr w:type="spellStart"/>
            <w:r w:rsidRPr="006F2DB1">
              <w:rPr>
                <w:sz w:val="28"/>
                <w:szCs w:val="28"/>
              </w:rPr>
              <w:t>та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їх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систематика</w:t>
            </w:r>
            <w:proofErr w:type="spellEnd"/>
            <w:r w:rsidRPr="006F2DB1">
              <w:rPr>
                <w:sz w:val="28"/>
                <w:szCs w:val="28"/>
              </w:rPr>
              <w:t xml:space="preserve">. (М.Ф. </w:t>
            </w:r>
            <w:proofErr w:type="spellStart"/>
            <w:r w:rsidRPr="006F2DB1">
              <w:rPr>
                <w:sz w:val="28"/>
                <w:szCs w:val="28"/>
              </w:rPr>
              <w:t>Данилевський</w:t>
            </w:r>
            <w:proofErr w:type="spellEnd"/>
            <w:r w:rsidRPr="006F2DB1">
              <w:rPr>
                <w:sz w:val="28"/>
                <w:szCs w:val="28"/>
              </w:rPr>
              <w:t xml:space="preserve">. П.Т. </w:t>
            </w:r>
            <w:proofErr w:type="spellStart"/>
            <w:r w:rsidRPr="006F2DB1">
              <w:rPr>
                <w:sz w:val="28"/>
                <w:szCs w:val="28"/>
              </w:rPr>
              <w:t>Максименко</w:t>
            </w:r>
            <w:proofErr w:type="spellEnd"/>
            <w:r w:rsidRPr="006F2DB1">
              <w:rPr>
                <w:sz w:val="28"/>
                <w:szCs w:val="28"/>
              </w:rPr>
              <w:t>).</w:t>
            </w:r>
          </w:p>
          <w:p w:rsidR="00182C81" w:rsidRPr="006F2DB1" w:rsidRDefault="00182C81" w:rsidP="00182C81">
            <w:pPr>
              <w:pStyle w:val="a5"/>
              <w:numPr>
                <w:ilvl w:val="0"/>
                <w:numId w:val="1"/>
              </w:numPr>
              <w:ind w:left="0" w:right="0" w:firstLine="709"/>
              <w:rPr>
                <w:sz w:val="28"/>
                <w:szCs w:val="28"/>
              </w:rPr>
            </w:pPr>
            <w:proofErr w:type="spellStart"/>
            <w:r w:rsidRPr="006F2DB1">
              <w:rPr>
                <w:sz w:val="28"/>
                <w:szCs w:val="28"/>
              </w:rPr>
              <w:t>Травматичні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ураження</w:t>
            </w:r>
            <w:proofErr w:type="spellEnd"/>
            <w:r w:rsidRPr="006F2DB1">
              <w:rPr>
                <w:sz w:val="28"/>
                <w:szCs w:val="28"/>
              </w:rPr>
              <w:t xml:space="preserve"> СОПР. </w:t>
            </w:r>
            <w:proofErr w:type="spellStart"/>
            <w:r w:rsidRPr="006F2DB1">
              <w:rPr>
                <w:sz w:val="28"/>
                <w:szCs w:val="28"/>
              </w:rPr>
              <w:t>Етіологія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патогенез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клініка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діагностика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лікування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профілактика</w:t>
            </w:r>
            <w:proofErr w:type="spellEnd"/>
            <w:r w:rsidRPr="006F2DB1">
              <w:rPr>
                <w:sz w:val="28"/>
                <w:szCs w:val="28"/>
              </w:rPr>
              <w:t xml:space="preserve">. </w:t>
            </w:r>
            <w:proofErr w:type="spellStart"/>
            <w:r w:rsidRPr="006F2DB1">
              <w:rPr>
                <w:sz w:val="28"/>
                <w:szCs w:val="28"/>
              </w:rPr>
              <w:t>Фізичні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фактори</w:t>
            </w:r>
            <w:proofErr w:type="spellEnd"/>
            <w:r w:rsidRPr="006F2DB1">
              <w:rPr>
                <w:sz w:val="28"/>
                <w:szCs w:val="28"/>
              </w:rPr>
              <w:t xml:space="preserve"> в </w:t>
            </w:r>
            <w:proofErr w:type="spellStart"/>
            <w:r w:rsidRPr="006F2DB1">
              <w:rPr>
                <w:sz w:val="28"/>
                <w:szCs w:val="28"/>
              </w:rPr>
              <w:t>діагностиці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та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лікуванні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стоматологічних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захворювань</w:t>
            </w:r>
            <w:proofErr w:type="spellEnd"/>
            <w:r w:rsidRPr="006F2DB1">
              <w:rPr>
                <w:sz w:val="28"/>
                <w:szCs w:val="28"/>
              </w:rPr>
              <w:t>.</w:t>
            </w:r>
          </w:p>
          <w:p w:rsidR="00182C81" w:rsidRPr="006F2DB1" w:rsidRDefault="00182C81" w:rsidP="00182C81">
            <w:pPr>
              <w:pStyle w:val="a5"/>
              <w:numPr>
                <w:ilvl w:val="0"/>
                <w:numId w:val="1"/>
              </w:numPr>
              <w:ind w:left="0" w:right="0" w:firstLine="709"/>
              <w:rPr>
                <w:sz w:val="28"/>
                <w:szCs w:val="28"/>
              </w:rPr>
            </w:pPr>
            <w:proofErr w:type="spellStart"/>
            <w:r w:rsidRPr="006F2DB1">
              <w:rPr>
                <w:sz w:val="28"/>
                <w:szCs w:val="28"/>
              </w:rPr>
              <w:t>Вірусні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захворювання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та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їх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lastRenderedPageBreak/>
              <w:t>симптоматичні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прояви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на</w:t>
            </w:r>
            <w:proofErr w:type="spellEnd"/>
            <w:r w:rsidRPr="006F2DB1">
              <w:rPr>
                <w:sz w:val="28"/>
                <w:szCs w:val="28"/>
              </w:rPr>
              <w:t xml:space="preserve"> СОПР: СНІД, </w:t>
            </w:r>
            <w:proofErr w:type="spellStart"/>
            <w:r w:rsidRPr="006F2DB1">
              <w:rPr>
                <w:sz w:val="28"/>
                <w:szCs w:val="28"/>
              </w:rPr>
              <w:t>грип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ящур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інфекційний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мононуклеоз</w:t>
            </w:r>
            <w:proofErr w:type="spellEnd"/>
            <w:r w:rsidRPr="006F2DB1">
              <w:rPr>
                <w:sz w:val="28"/>
                <w:szCs w:val="28"/>
              </w:rPr>
              <w:t xml:space="preserve">. </w:t>
            </w:r>
            <w:proofErr w:type="spellStart"/>
            <w:r w:rsidRPr="006F2DB1">
              <w:rPr>
                <w:sz w:val="28"/>
                <w:szCs w:val="28"/>
              </w:rPr>
              <w:t>Етіологія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патогенез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клініка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діагностика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тактика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лікаря-стоматолога</w:t>
            </w:r>
            <w:proofErr w:type="spellEnd"/>
            <w:r w:rsidRPr="006F2DB1">
              <w:rPr>
                <w:sz w:val="28"/>
                <w:szCs w:val="28"/>
              </w:rPr>
              <w:t>.</w:t>
            </w:r>
          </w:p>
          <w:p w:rsidR="00182C81" w:rsidRPr="006F2DB1" w:rsidRDefault="00182C81" w:rsidP="00182C81">
            <w:pPr>
              <w:pStyle w:val="a5"/>
              <w:numPr>
                <w:ilvl w:val="0"/>
                <w:numId w:val="1"/>
              </w:numPr>
              <w:ind w:left="0" w:right="0" w:firstLine="709"/>
              <w:rPr>
                <w:sz w:val="28"/>
                <w:szCs w:val="28"/>
              </w:rPr>
            </w:pPr>
            <w:proofErr w:type="spellStart"/>
            <w:r w:rsidRPr="006F2DB1">
              <w:rPr>
                <w:sz w:val="28"/>
                <w:szCs w:val="28"/>
              </w:rPr>
              <w:t>Бактеріальні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захворювання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та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їх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симптоматичні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прояви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на</w:t>
            </w:r>
            <w:proofErr w:type="spellEnd"/>
            <w:r w:rsidRPr="006F2DB1">
              <w:rPr>
                <w:sz w:val="28"/>
                <w:szCs w:val="28"/>
              </w:rPr>
              <w:t xml:space="preserve"> СОПР. </w:t>
            </w:r>
            <w:proofErr w:type="spellStart"/>
            <w:r w:rsidRPr="006F2DB1">
              <w:rPr>
                <w:sz w:val="28"/>
                <w:szCs w:val="28"/>
              </w:rPr>
              <w:t>Дифтерія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туберкульоз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сифіліс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гонорея</w:t>
            </w:r>
            <w:proofErr w:type="spellEnd"/>
            <w:r w:rsidRPr="006F2DB1">
              <w:rPr>
                <w:sz w:val="28"/>
                <w:szCs w:val="28"/>
              </w:rPr>
              <w:t xml:space="preserve">. </w:t>
            </w:r>
            <w:proofErr w:type="spellStart"/>
            <w:r w:rsidRPr="006F2DB1">
              <w:rPr>
                <w:sz w:val="28"/>
                <w:szCs w:val="28"/>
              </w:rPr>
              <w:t>Етіологія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патогенез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клініка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діагностика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лікування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профілактика</w:t>
            </w:r>
            <w:proofErr w:type="spellEnd"/>
            <w:r w:rsidRPr="006F2DB1">
              <w:rPr>
                <w:sz w:val="28"/>
                <w:szCs w:val="28"/>
              </w:rPr>
              <w:t xml:space="preserve">. </w:t>
            </w:r>
            <w:proofErr w:type="spellStart"/>
            <w:r w:rsidRPr="006F2DB1">
              <w:rPr>
                <w:sz w:val="28"/>
                <w:szCs w:val="28"/>
              </w:rPr>
              <w:t>Тактика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лікаря-стоматолога</w:t>
            </w:r>
            <w:proofErr w:type="spellEnd"/>
            <w:r w:rsidRPr="006F2DB1">
              <w:rPr>
                <w:sz w:val="28"/>
                <w:szCs w:val="28"/>
              </w:rPr>
              <w:t>.</w:t>
            </w:r>
          </w:p>
          <w:p w:rsidR="00182C81" w:rsidRPr="006F2DB1" w:rsidRDefault="00182C81" w:rsidP="00182C81">
            <w:pPr>
              <w:pStyle w:val="a5"/>
              <w:numPr>
                <w:ilvl w:val="0"/>
                <w:numId w:val="1"/>
              </w:numPr>
              <w:ind w:left="0" w:right="0" w:firstLine="709"/>
              <w:rPr>
                <w:sz w:val="28"/>
                <w:szCs w:val="28"/>
              </w:rPr>
            </w:pPr>
            <w:proofErr w:type="spellStart"/>
            <w:r w:rsidRPr="006F2DB1">
              <w:rPr>
                <w:sz w:val="28"/>
                <w:szCs w:val="28"/>
              </w:rPr>
              <w:t>Зміни</w:t>
            </w:r>
            <w:proofErr w:type="spellEnd"/>
            <w:r w:rsidRPr="006F2DB1">
              <w:rPr>
                <w:sz w:val="28"/>
                <w:szCs w:val="28"/>
              </w:rPr>
              <w:t xml:space="preserve"> СОПР </w:t>
            </w:r>
            <w:proofErr w:type="spellStart"/>
            <w:r w:rsidRPr="006F2DB1">
              <w:rPr>
                <w:sz w:val="28"/>
                <w:szCs w:val="28"/>
              </w:rPr>
              <w:t>при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захворюваннях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травного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каналу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серцево-судинної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ендокринної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та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нервової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системи</w:t>
            </w:r>
            <w:proofErr w:type="spellEnd"/>
            <w:r w:rsidRPr="006F2DB1">
              <w:rPr>
                <w:sz w:val="28"/>
                <w:szCs w:val="28"/>
              </w:rPr>
              <w:t xml:space="preserve">. </w:t>
            </w:r>
            <w:proofErr w:type="spellStart"/>
            <w:r w:rsidRPr="006F2DB1">
              <w:rPr>
                <w:sz w:val="28"/>
                <w:szCs w:val="28"/>
              </w:rPr>
              <w:t>Клініка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діагностика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лікування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профілактика</w:t>
            </w:r>
            <w:proofErr w:type="spellEnd"/>
            <w:r w:rsidRPr="006F2DB1">
              <w:rPr>
                <w:sz w:val="28"/>
                <w:szCs w:val="28"/>
              </w:rPr>
              <w:t>.</w:t>
            </w:r>
          </w:p>
          <w:p w:rsidR="00182C81" w:rsidRPr="006F2DB1" w:rsidRDefault="00182C81" w:rsidP="00182C81">
            <w:pPr>
              <w:pStyle w:val="a5"/>
              <w:numPr>
                <w:ilvl w:val="0"/>
                <w:numId w:val="1"/>
              </w:numPr>
              <w:ind w:left="0" w:right="0" w:firstLine="709"/>
              <w:rPr>
                <w:sz w:val="28"/>
                <w:szCs w:val="28"/>
              </w:rPr>
            </w:pPr>
            <w:proofErr w:type="spellStart"/>
            <w:r w:rsidRPr="006F2DB1">
              <w:rPr>
                <w:sz w:val="28"/>
                <w:szCs w:val="28"/>
              </w:rPr>
              <w:t>Зміни</w:t>
            </w:r>
            <w:proofErr w:type="spellEnd"/>
            <w:r w:rsidRPr="006F2DB1">
              <w:rPr>
                <w:sz w:val="28"/>
                <w:szCs w:val="28"/>
              </w:rPr>
              <w:t xml:space="preserve"> СОПР </w:t>
            </w:r>
            <w:proofErr w:type="spellStart"/>
            <w:r w:rsidRPr="006F2DB1">
              <w:rPr>
                <w:sz w:val="28"/>
                <w:szCs w:val="28"/>
              </w:rPr>
              <w:t>при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захворюваннях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крові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та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кровотворних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органів</w:t>
            </w:r>
            <w:proofErr w:type="spellEnd"/>
            <w:r w:rsidRPr="006F2DB1">
              <w:rPr>
                <w:sz w:val="28"/>
                <w:szCs w:val="28"/>
              </w:rPr>
              <w:t xml:space="preserve">. </w:t>
            </w:r>
            <w:proofErr w:type="spellStart"/>
            <w:r w:rsidRPr="006F2DB1">
              <w:rPr>
                <w:sz w:val="28"/>
                <w:szCs w:val="28"/>
              </w:rPr>
              <w:t>Клініка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діагностика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лікування</w:t>
            </w:r>
            <w:proofErr w:type="spellEnd"/>
            <w:r w:rsidRPr="006F2DB1">
              <w:rPr>
                <w:sz w:val="28"/>
                <w:szCs w:val="28"/>
              </w:rPr>
              <w:t>.</w:t>
            </w:r>
          </w:p>
          <w:p w:rsidR="00182C81" w:rsidRPr="006F2DB1" w:rsidRDefault="00182C81" w:rsidP="00182C81">
            <w:pPr>
              <w:pStyle w:val="a5"/>
              <w:numPr>
                <w:ilvl w:val="0"/>
                <w:numId w:val="1"/>
              </w:numPr>
              <w:ind w:left="0" w:right="0" w:firstLine="709"/>
              <w:rPr>
                <w:sz w:val="28"/>
                <w:szCs w:val="28"/>
              </w:rPr>
            </w:pPr>
            <w:proofErr w:type="spellStart"/>
            <w:r w:rsidRPr="006F2DB1">
              <w:rPr>
                <w:sz w:val="28"/>
                <w:szCs w:val="28"/>
              </w:rPr>
              <w:t>Діагностика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захворювання</w:t>
            </w:r>
            <w:proofErr w:type="spellEnd"/>
            <w:r w:rsidRPr="006F2DB1">
              <w:rPr>
                <w:sz w:val="28"/>
                <w:szCs w:val="28"/>
              </w:rPr>
              <w:t xml:space="preserve"> СОПР </w:t>
            </w:r>
            <w:proofErr w:type="spellStart"/>
            <w:r w:rsidRPr="006F2DB1">
              <w:rPr>
                <w:sz w:val="28"/>
                <w:szCs w:val="28"/>
              </w:rPr>
              <w:t>при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алергічних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ураженнях</w:t>
            </w:r>
            <w:proofErr w:type="spellEnd"/>
            <w:r w:rsidRPr="006F2DB1">
              <w:rPr>
                <w:sz w:val="28"/>
                <w:szCs w:val="28"/>
              </w:rPr>
              <w:t xml:space="preserve">. </w:t>
            </w:r>
            <w:proofErr w:type="spellStart"/>
            <w:r w:rsidRPr="006F2DB1">
              <w:rPr>
                <w:sz w:val="28"/>
                <w:szCs w:val="28"/>
              </w:rPr>
              <w:t>Реакції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негайного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та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сповільненого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типу</w:t>
            </w:r>
            <w:proofErr w:type="spellEnd"/>
            <w:r w:rsidRPr="006F2DB1">
              <w:rPr>
                <w:sz w:val="28"/>
                <w:szCs w:val="28"/>
              </w:rPr>
              <w:t xml:space="preserve">, ХРАС, </w:t>
            </w:r>
            <w:proofErr w:type="spellStart"/>
            <w:r w:rsidRPr="006F2DB1">
              <w:rPr>
                <w:sz w:val="28"/>
                <w:szCs w:val="28"/>
              </w:rPr>
              <w:t>багатоформна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ексудативна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еритема</w:t>
            </w:r>
            <w:proofErr w:type="spellEnd"/>
            <w:r w:rsidRPr="006F2DB1">
              <w:rPr>
                <w:sz w:val="28"/>
                <w:szCs w:val="28"/>
              </w:rPr>
              <w:t xml:space="preserve">. </w:t>
            </w:r>
            <w:proofErr w:type="spellStart"/>
            <w:r w:rsidRPr="006F2DB1">
              <w:rPr>
                <w:sz w:val="28"/>
                <w:szCs w:val="28"/>
              </w:rPr>
              <w:t>Етіологія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патогенез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клініка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діагностика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лікування</w:t>
            </w:r>
            <w:proofErr w:type="spellEnd"/>
            <w:r w:rsidRPr="006F2DB1">
              <w:rPr>
                <w:sz w:val="28"/>
                <w:szCs w:val="28"/>
              </w:rPr>
              <w:t>.</w:t>
            </w:r>
          </w:p>
          <w:p w:rsidR="00182C81" w:rsidRPr="006F2DB1" w:rsidRDefault="00182C81" w:rsidP="00182C81">
            <w:pPr>
              <w:pStyle w:val="a5"/>
              <w:numPr>
                <w:ilvl w:val="0"/>
                <w:numId w:val="1"/>
              </w:numPr>
              <w:ind w:left="0" w:right="0" w:firstLine="709"/>
              <w:rPr>
                <w:sz w:val="28"/>
                <w:szCs w:val="28"/>
              </w:rPr>
            </w:pPr>
            <w:proofErr w:type="spellStart"/>
            <w:r w:rsidRPr="006F2DB1">
              <w:rPr>
                <w:sz w:val="28"/>
                <w:szCs w:val="28"/>
              </w:rPr>
              <w:t>Захворювання</w:t>
            </w:r>
            <w:proofErr w:type="spellEnd"/>
            <w:r w:rsidRPr="006F2DB1">
              <w:rPr>
                <w:sz w:val="28"/>
                <w:szCs w:val="28"/>
              </w:rPr>
              <w:t xml:space="preserve"> СОПР </w:t>
            </w:r>
            <w:proofErr w:type="spellStart"/>
            <w:r w:rsidRPr="006F2DB1">
              <w:rPr>
                <w:sz w:val="28"/>
                <w:szCs w:val="28"/>
              </w:rPr>
              <w:t>при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дерматозах</w:t>
            </w:r>
            <w:proofErr w:type="spellEnd"/>
            <w:r w:rsidRPr="006F2DB1">
              <w:rPr>
                <w:sz w:val="28"/>
                <w:szCs w:val="28"/>
              </w:rPr>
              <w:t xml:space="preserve"> з </w:t>
            </w:r>
            <w:proofErr w:type="spellStart"/>
            <w:r w:rsidRPr="006F2DB1">
              <w:rPr>
                <w:sz w:val="28"/>
                <w:szCs w:val="28"/>
              </w:rPr>
              <w:t>аутоімунним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компонентом</w:t>
            </w:r>
            <w:proofErr w:type="spellEnd"/>
            <w:r w:rsidRPr="006F2DB1">
              <w:rPr>
                <w:sz w:val="28"/>
                <w:szCs w:val="28"/>
              </w:rPr>
              <w:t xml:space="preserve">. </w:t>
            </w:r>
            <w:proofErr w:type="spellStart"/>
            <w:r w:rsidRPr="006F2DB1">
              <w:rPr>
                <w:sz w:val="28"/>
                <w:szCs w:val="28"/>
              </w:rPr>
              <w:t>Пухирчатка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червоний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плескатий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лишай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червоний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вовчак</w:t>
            </w:r>
            <w:proofErr w:type="spellEnd"/>
            <w:r w:rsidRPr="006F2DB1">
              <w:rPr>
                <w:sz w:val="28"/>
                <w:szCs w:val="28"/>
              </w:rPr>
              <w:t xml:space="preserve">. </w:t>
            </w:r>
            <w:proofErr w:type="spellStart"/>
            <w:r w:rsidRPr="006F2DB1">
              <w:rPr>
                <w:sz w:val="28"/>
                <w:szCs w:val="28"/>
              </w:rPr>
              <w:t>Клініка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діагностика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тактика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лікаря-стоматолога</w:t>
            </w:r>
            <w:proofErr w:type="spellEnd"/>
            <w:r w:rsidRPr="006F2DB1">
              <w:rPr>
                <w:sz w:val="28"/>
                <w:szCs w:val="28"/>
              </w:rPr>
              <w:t>.</w:t>
            </w:r>
          </w:p>
          <w:p w:rsidR="00182C81" w:rsidRPr="006F2DB1" w:rsidRDefault="00182C81" w:rsidP="00182C81">
            <w:pPr>
              <w:pStyle w:val="a5"/>
              <w:numPr>
                <w:ilvl w:val="0"/>
                <w:numId w:val="1"/>
              </w:numPr>
              <w:ind w:left="0" w:right="0" w:firstLine="709"/>
              <w:rPr>
                <w:sz w:val="28"/>
                <w:szCs w:val="28"/>
              </w:rPr>
            </w:pPr>
            <w:proofErr w:type="spellStart"/>
            <w:r w:rsidRPr="006F2DB1">
              <w:rPr>
                <w:sz w:val="28"/>
                <w:szCs w:val="28"/>
              </w:rPr>
              <w:t>Передракові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захворювання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червоної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кайми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губ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та</w:t>
            </w:r>
            <w:proofErr w:type="spellEnd"/>
            <w:r w:rsidRPr="006F2DB1">
              <w:rPr>
                <w:sz w:val="28"/>
                <w:szCs w:val="28"/>
              </w:rPr>
              <w:t xml:space="preserve"> СОПР. </w:t>
            </w:r>
            <w:proofErr w:type="spellStart"/>
            <w:r w:rsidRPr="006F2DB1">
              <w:rPr>
                <w:sz w:val="28"/>
                <w:szCs w:val="28"/>
              </w:rPr>
              <w:t>Класифікація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етіологія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патогенез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клініка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діагностика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лікування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профілактика</w:t>
            </w:r>
            <w:proofErr w:type="spellEnd"/>
            <w:r w:rsidRPr="006F2DB1">
              <w:rPr>
                <w:sz w:val="28"/>
                <w:szCs w:val="28"/>
              </w:rPr>
              <w:t>.</w:t>
            </w:r>
          </w:p>
          <w:p w:rsidR="00182C81" w:rsidRPr="006F2DB1" w:rsidRDefault="00182C81" w:rsidP="00182C81">
            <w:pPr>
              <w:pStyle w:val="a5"/>
              <w:numPr>
                <w:ilvl w:val="0"/>
                <w:numId w:val="1"/>
              </w:numPr>
              <w:ind w:left="0" w:right="0" w:firstLine="709"/>
              <w:rPr>
                <w:sz w:val="28"/>
                <w:szCs w:val="28"/>
              </w:rPr>
            </w:pPr>
            <w:proofErr w:type="spellStart"/>
            <w:r w:rsidRPr="006F2DB1">
              <w:rPr>
                <w:sz w:val="28"/>
                <w:szCs w:val="28"/>
              </w:rPr>
              <w:t>Стоматологічна</w:t>
            </w:r>
            <w:proofErr w:type="spellEnd"/>
            <w:r w:rsidRPr="006F2DB1">
              <w:rPr>
                <w:sz w:val="28"/>
                <w:szCs w:val="28"/>
              </w:rPr>
              <w:t xml:space="preserve"> </w:t>
            </w:r>
            <w:proofErr w:type="spellStart"/>
            <w:r w:rsidRPr="006F2DB1">
              <w:rPr>
                <w:sz w:val="28"/>
                <w:szCs w:val="28"/>
              </w:rPr>
              <w:t>хроніоінтоксикація</w:t>
            </w:r>
            <w:proofErr w:type="spellEnd"/>
            <w:r w:rsidRPr="006F2DB1">
              <w:rPr>
                <w:sz w:val="28"/>
                <w:szCs w:val="28"/>
              </w:rPr>
              <w:t xml:space="preserve">. </w:t>
            </w:r>
            <w:proofErr w:type="spellStart"/>
            <w:r w:rsidRPr="006F2DB1">
              <w:rPr>
                <w:sz w:val="28"/>
                <w:szCs w:val="28"/>
              </w:rPr>
              <w:t>Етіологія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патогенез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клініка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діагностика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лікування</w:t>
            </w:r>
            <w:proofErr w:type="spellEnd"/>
            <w:r w:rsidRPr="006F2DB1">
              <w:rPr>
                <w:sz w:val="28"/>
                <w:szCs w:val="28"/>
              </w:rPr>
              <w:t xml:space="preserve">, </w:t>
            </w:r>
            <w:proofErr w:type="spellStart"/>
            <w:r w:rsidRPr="006F2DB1">
              <w:rPr>
                <w:sz w:val="28"/>
                <w:szCs w:val="28"/>
              </w:rPr>
              <w:t>профілактика</w:t>
            </w:r>
            <w:proofErr w:type="spellEnd"/>
            <w:r w:rsidRPr="006F2DB1">
              <w:rPr>
                <w:sz w:val="28"/>
                <w:szCs w:val="28"/>
              </w:rPr>
              <w:t>.</w:t>
            </w:r>
          </w:p>
          <w:p w:rsidR="00182C81" w:rsidRPr="006F2DB1" w:rsidRDefault="00182C81" w:rsidP="00910BE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82C81" w:rsidTr="00910BE2">
        <w:trPr>
          <w:trHeight w:val="322"/>
        </w:trPr>
        <w:tc>
          <w:tcPr>
            <w:tcW w:w="4117" w:type="dxa"/>
          </w:tcPr>
          <w:p w:rsidR="00182C81" w:rsidRDefault="00182C81" w:rsidP="00910BE2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Форма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семестрового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контролю</w:t>
            </w:r>
            <w:proofErr w:type="spellEnd"/>
            <w:r>
              <w:rPr>
                <w:spacing w:val="-2"/>
                <w:sz w:val="28"/>
              </w:rPr>
              <w:t>*</w:t>
            </w:r>
          </w:p>
        </w:tc>
        <w:tc>
          <w:tcPr>
            <w:tcW w:w="5635" w:type="dxa"/>
          </w:tcPr>
          <w:p w:rsidR="00182C81" w:rsidRDefault="00182C81" w:rsidP="00910BE2">
            <w:pPr>
              <w:pStyle w:val="TableParagraph"/>
              <w:spacing w:before="1" w:line="301" w:lineRule="exact"/>
              <w:ind w:left="76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залік</w:t>
            </w:r>
            <w:proofErr w:type="spellEnd"/>
          </w:p>
        </w:tc>
      </w:tr>
    </w:tbl>
    <w:p w:rsidR="00182C81" w:rsidRDefault="00182C81" w:rsidP="00182C81"/>
    <w:p w:rsidR="00182C81" w:rsidRDefault="00182C81"/>
    <w:sectPr w:rsidR="00182C81">
      <w:pgSz w:w="11910" w:h="16840"/>
      <w:pgMar w:top="780" w:right="48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A6438"/>
    <w:multiLevelType w:val="hybridMultilevel"/>
    <w:tmpl w:val="B8DAF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81"/>
    <w:rsid w:val="00182C81"/>
    <w:rsid w:val="00584B57"/>
    <w:rsid w:val="007100DF"/>
    <w:rsid w:val="00A30F85"/>
    <w:rsid w:val="00DE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9AC1"/>
  <w15:chartTrackingRefBased/>
  <w15:docId w15:val="{4376EFA3-080A-423A-A909-6EB04037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C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2C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82C81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182C8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182C81"/>
    <w:pPr>
      <w:ind w:left="116" w:right="365"/>
      <w:jc w:val="both"/>
    </w:pPr>
  </w:style>
  <w:style w:type="paragraph" w:customStyle="1" w:styleId="TableParagraph">
    <w:name w:val="Table Paragraph"/>
    <w:basedOn w:val="a"/>
    <w:uiPriority w:val="1"/>
    <w:qFormat/>
    <w:rsid w:val="00182C81"/>
    <w:pPr>
      <w:ind w:left="136"/>
    </w:pPr>
  </w:style>
  <w:style w:type="paragraph" w:styleId="a6">
    <w:name w:val="No Spacing"/>
    <w:uiPriority w:val="1"/>
    <w:qFormat/>
    <w:rsid w:val="00182C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1873</Words>
  <Characters>1068</Characters>
  <Application>Microsoft Office Word</Application>
  <DocSecurity>0</DocSecurity>
  <Lines>8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UzhNU</cp:lastModifiedBy>
  <cp:revision>5</cp:revision>
  <dcterms:created xsi:type="dcterms:W3CDTF">2021-11-26T09:51:00Z</dcterms:created>
  <dcterms:modified xsi:type="dcterms:W3CDTF">2022-06-29T06:58:00Z</dcterms:modified>
</cp:coreProperties>
</file>