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EA9" w:rsidRPr="00AC7EA9" w:rsidRDefault="00AC7EA9" w:rsidP="00AC7EA9">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АНОТАЦІЯ</w:t>
      </w:r>
    </w:p>
    <w:p w:rsidR="00AC7EA9" w:rsidRPr="00B82162" w:rsidRDefault="00E74254" w:rsidP="00AC7EA9">
      <w:pPr>
        <w:spacing w:line="360" w:lineRule="auto"/>
        <w:ind w:firstLine="708"/>
        <w:jc w:val="both"/>
        <w:rPr>
          <w:rFonts w:ascii="Times New Roman" w:hAnsi="Times New Roman" w:cs="Times New Roman"/>
          <w:bCs/>
          <w:iCs/>
          <w:sz w:val="28"/>
          <w:szCs w:val="28"/>
        </w:rPr>
      </w:pPr>
      <w:proofErr w:type="spellStart"/>
      <w:r w:rsidRPr="00AC7EA9">
        <w:rPr>
          <w:rFonts w:ascii="Times New Roman" w:eastAsia="Times New Roman" w:hAnsi="Times New Roman" w:cs="Times New Roman"/>
          <w:bCs/>
          <w:i/>
          <w:iCs/>
          <w:sz w:val="28"/>
          <w:szCs w:val="28"/>
          <w:lang w:eastAsia="ru-RU"/>
        </w:rPr>
        <w:t>Волошенюк</w:t>
      </w:r>
      <w:proofErr w:type="spellEnd"/>
      <w:r w:rsidRPr="00AC7EA9">
        <w:rPr>
          <w:rFonts w:ascii="Times New Roman" w:eastAsia="Times New Roman" w:hAnsi="Times New Roman" w:cs="Times New Roman"/>
          <w:bCs/>
          <w:i/>
          <w:iCs/>
          <w:sz w:val="28"/>
          <w:szCs w:val="28"/>
          <w:lang w:eastAsia="ru-RU"/>
        </w:rPr>
        <w:t xml:space="preserve"> Н.М.</w:t>
      </w:r>
      <w:r w:rsidRPr="00AC7EA9">
        <w:rPr>
          <w:rFonts w:ascii="Times New Roman" w:eastAsia="Times New Roman" w:hAnsi="Times New Roman" w:cs="Times New Roman"/>
          <w:bCs/>
          <w:sz w:val="28"/>
          <w:szCs w:val="28"/>
          <w:lang w:eastAsia="ru-RU"/>
        </w:rPr>
        <w:t xml:space="preserve"> Конституційно-правове регулювання передвиборної агітації під час виборів депутатів парламенту: зарубіжний досвід та українська практика. </w:t>
      </w:r>
      <w:r w:rsidR="00AC7EA9">
        <w:rPr>
          <w:rFonts w:ascii="Times New Roman" w:hAnsi="Times New Roman" w:cs="Times New Roman"/>
          <w:bCs/>
          <w:sz w:val="28"/>
          <w:szCs w:val="28"/>
        </w:rPr>
        <w:t xml:space="preserve">– </w:t>
      </w:r>
      <w:r w:rsidR="00AC7EA9" w:rsidRPr="00B82162">
        <w:rPr>
          <w:rFonts w:ascii="Times New Roman" w:hAnsi="Times New Roman" w:cs="Times New Roman"/>
          <w:bCs/>
          <w:iCs/>
          <w:sz w:val="28"/>
          <w:szCs w:val="28"/>
        </w:rPr>
        <w:t>Кваліфікаційна наукова праця на правах рукопису.</w:t>
      </w:r>
    </w:p>
    <w:p w:rsidR="00AC7EA9" w:rsidRDefault="00AC7EA9" w:rsidP="00AC7EA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Дисертація на здобуття ступеня доктора філософії з галузі знань 08 Право за спеціальністю 081 Право. - Державний вищий навчальний заклад «Ужгородський національний університет». - Ужгород, 2021.</w:t>
      </w:r>
    </w:p>
    <w:p w:rsidR="00E74254" w:rsidRPr="00E74254" w:rsidRDefault="00E74254" w:rsidP="00AC7EA9">
      <w:pPr>
        <w:tabs>
          <w:tab w:val="left" w:pos="720"/>
        </w:tabs>
        <w:spacing w:after="0" w:line="360" w:lineRule="auto"/>
        <w:ind w:firstLine="720"/>
        <w:jc w:val="both"/>
        <w:rPr>
          <w:rFonts w:ascii="Times New Roman" w:eastAsia="Times New Roman" w:hAnsi="Times New Roman" w:cs="Times New Roman"/>
          <w:color w:val="0D0D0D"/>
          <w:sz w:val="28"/>
          <w:szCs w:val="28"/>
          <w:shd w:val="clear" w:color="auto" w:fill="FFFFFF"/>
          <w:lang w:eastAsia="ru-RU"/>
        </w:rPr>
      </w:pPr>
      <w:r w:rsidRPr="00E74254">
        <w:rPr>
          <w:rFonts w:ascii="Times New Roman" w:eastAsia="Times New Roman" w:hAnsi="Times New Roman" w:cs="Times New Roman"/>
          <w:sz w:val="28"/>
          <w:szCs w:val="28"/>
          <w:lang w:eastAsia="ru-RU"/>
        </w:rPr>
        <w:t xml:space="preserve">У дисертаційній роботі проведено теоретично-прикладне дослідження юридичної природи передвиборної агітації під час виборів депутатів парламенту в Україні та зарубіжних державах. В роботі визначено, що передвиборна агітація виступає важливим елементом передвиборної кампанії, і вона характеризується такими рисами: </w:t>
      </w:r>
      <w:r w:rsidRPr="00E74254">
        <w:rPr>
          <w:rFonts w:ascii="Times New Roman" w:eastAsia="Times New Roman" w:hAnsi="Times New Roman" w:cs="Times New Roman"/>
          <w:color w:val="0D0D0D"/>
          <w:sz w:val="28"/>
          <w:szCs w:val="28"/>
          <w:lang w:eastAsia="uk-UA"/>
        </w:rPr>
        <w:t>1)</w:t>
      </w:r>
      <w:r w:rsidRPr="00E74254">
        <w:rPr>
          <w:rFonts w:ascii="Times New Roman" w:eastAsia="Times New Roman" w:hAnsi="Times New Roman" w:cs="Times New Roman"/>
          <w:color w:val="0D0D0D"/>
          <w:sz w:val="28"/>
          <w:szCs w:val="28"/>
          <w:lang w:eastAsia="ru-RU"/>
        </w:rPr>
        <w:t xml:space="preserve"> </w:t>
      </w:r>
      <w:r w:rsidRPr="00E74254">
        <w:rPr>
          <w:rFonts w:ascii="Times New Roman" w:eastAsia="Times New Roman" w:hAnsi="Times New Roman" w:cs="Times New Roman"/>
          <w:color w:val="0D0D0D"/>
          <w:sz w:val="28"/>
          <w:szCs w:val="28"/>
          <w:lang w:eastAsia="uk-UA"/>
        </w:rPr>
        <w:t>має конституційно-правовий</w:t>
      </w:r>
      <w:r w:rsidRPr="00E74254">
        <w:rPr>
          <w:rFonts w:ascii="Times New Roman" w:eastAsia="Times New Roman" w:hAnsi="Times New Roman" w:cs="Times New Roman"/>
          <w:i/>
          <w:color w:val="0D0D0D"/>
          <w:sz w:val="28"/>
          <w:szCs w:val="28"/>
          <w:lang w:eastAsia="uk-UA"/>
        </w:rPr>
        <w:t xml:space="preserve"> </w:t>
      </w:r>
      <w:r w:rsidRPr="00E74254">
        <w:rPr>
          <w:rFonts w:ascii="Times New Roman" w:eastAsia="Times New Roman" w:hAnsi="Times New Roman" w:cs="Times New Roman"/>
          <w:color w:val="0D0D0D"/>
          <w:sz w:val="28"/>
          <w:szCs w:val="28"/>
          <w:lang w:eastAsia="uk-UA"/>
        </w:rPr>
        <w:t>характер, 2) являє собою в основному цілеспрямовану діяльність, яка</w:t>
      </w:r>
      <w:r w:rsidRPr="00E74254">
        <w:rPr>
          <w:rFonts w:ascii="Times New Roman" w:eastAsia="Times New Roman" w:hAnsi="Times New Roman" w:cs="Times New Roman"/>
          <w:sz w:val="28"/>
          <w:szCs w:val="28"/>
          <w:lang w:eastAsia="ru-RU"/>
        </w:rPr>
        <w:t xml:space="preserve"> охоплює собою формування волі виборців і спонукання їх взяти участь у виборах і проголосувати за ту чи іншу політичну силу чи окремих кандидатів; </w:t>
      </w:r>
      <w:r w:rsidRPr="00E74254">
        <w:rPr>
          <w:rFonts w:ascii="Times New Roman" w:eastAsia="Times New Roman" w:hAnsi="Times New Roman" w:cs="Times New Roman"/>
          <w:color w:val="0D0D0D"/>
          <w:sz w:val="28"/>
          <w:szCs w:val="28"/>
          <w:lang w:eastAsia="uk-UA"/>
        </w:rPr>
        <w:t xml:space="preserve">3) має політичний характер; 4) здійснюється певними суб’єктами, чітко визначеними законодавством; 5) є стадією виборчого процесу і охоплює певні часові рамки; 6) </w:t>
      </w:r>
      <w:r w:rsidRPr="00E74254">
        <w:rPr>
          <w:rFonts w:ascii="Times New Roman" w:eastAsia="Times New Roman" w:hAnsi="Times New Roman" w:cs="Times New Roman"/>
          <w:color w:val="0D0D0D"/>
          <w:sz w:val="28"/>
          <w:szCs w:val="28"/>
          <w:shd w:val="clear" w:color="auto" w:fill="FFFFFF"/>
          <w:lang w:eastAsia="ru-RU"/>
        </w:rPr>
        <w:t xml:space="preserve">може здійснюватися в будь-яких формах і будь-якими засобами, що не суперечать </w:t>
      </w:r>
      <w:r w:rsidRPr="00E74254">
        <w:rPr>
          <w:rFonts w:ascii="Times New Roman" w:eastAsia="Times New Roman" w:hAnsi="Times New Roman" w:cs="Times New Roman"/>
          <w:color w:val="0D0D0D"/>
          <w:sz w:val="28"/>
          <w:szCs w:val="28"/>
          <w:bdr w:val="none" w:sz="0" w:space="0" w:color="auto" w:frame="1"/>
          <w:shd w:val="clear" w:color="auto" w:fill="FFFFFF"/>
          <w:lang w:eastAsia="ru-RU"/>
        </w:rPr>
        <w:t>Конституції України</w:t>
      </w:r>
      <w:r w:rsidRPr="00E74254">
        <w:rPr>
          <w:rFonts w:ascii="Times New Roman" w:eastAsia="Times New Roman" w:hAnsi="Times New Roman" w:cs="Times New Roman"/>
          <w:color w:val="0D0D0D"/>
          <w:sz w:val="28"/>
          <w:szCs w:val="28"/>
          <w:shd w:val="clear" w:color="auto" w:fill="FFFFFF"/>
          <w:lang w:eastAsia="ru-RU"/>
        </w:rPr>
        <w:t xml:space="preserve"> та законам України. </w:t>
      </w:r>
    </w:p>
    <w:p w:rsidR="00E74254" w:rsidRPr="00E74254" w:rsidRDefault="00E74254" w:rsidP="00E74254">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74254">
        <w:rPr>
          <w:rFonts w:ascii="Times New Roman" w:eastAsia="Times New Roman" w:hAnsi="Times New Roman" w:cs="Times New Roman"/>
          <w:color w:val="000000"/>
          <w:sz w:val="28"/>
          <w:szCs w:val="28"/>
          <w:lang w:eastAsia="ru-RU"/>
        </w:rPr>
        <w:t xml:space="preserve">Зроблено висновок, що передвиборна агітація – це багатогранне, комплексне конституційно-правове явище, яке більш повно </w:t>
      </w:r>
      <w:r w:rsidRPr="00E74254">
        <w:rPr>
          <w:rFonts w:ascii="Times New Roman" w:eastAsia="Times New Roman" w:hAnsi="Times New Roman" w:cs="Times New Roman"/>
          <w:sz w:val="28"/>
          <w:szCs w:val="28"/>
          <w:lang w:eastAsia="ru-RU"/>
        </w:rPr>
        <w:t xml:space="preserve">розкривається </w:t>
      </w:r>
      <w:r w:rsidRPr="00E74254">
        <w:rPr>
          <w:rFonts w:ascii="Times New Roman" w:eastAsia="Times New Roman" w:hAnsi="Times New Roman" w:cs="Times New Roman"/>
          <w:color w:val="000000"/>
          <w:sz w:val="28"/>
          <w:szCs w:val="28"/>
          <w:lang w:eastAsia="ru-RU"/>
        </w:rPr>
        <w:t xml:space="preserve">якщо її </w:t>
      </w:r>
      <w:r w:rsidRPr="00E74254">
        <w:rPr>
          <w:rFonts w:ascii="Times New Roman" w:eastAsia="Times New Roman" w:hAnsi="Times New Roman" w:cs="Times New Roman"/>
          <w:sz w:val="28"/>
          <w:szCs w:val="28"/>
          <w:lang w:eastAsia="ru-RU"/>
        </w:rPr>
        <w:t>розглянути у різних практично-</w:t>
      </w:r>
      <w:proofErr w:type="spellStart"/>
      <w:r w:rsidRPr="00E74254">
        <w:rPr>
          <w:rFonts w:ascii="Times New Roman" w:eastAsia="Times New Roman" w:hAnsi="Times New Roman" w:cs="Times New Roman"/>
          <w:sz w:val="28"/>
          <w:szCs w:val="28"/>
          <w:lang w:eastAsia="ru-RU"/>
        </w:rPr>
        <w:t>прексеологічних</w:t>
      </w:r>
      <w:proofErr w:type="spellEnd"/>
      <w:r w:rsidRPr="00E74254">
        <w:rPr>
          <w:rFonts w:ascii="Times New Roman" w:eastAsia="Times New Roman" w:hAnsi="Times New Roman" w:cs="Times New Roman"/>
          <w:sz w:val="28"/>
          <w:szCs w:val="28"/>
          <w:lang w:eastAsia="ru-RU"/>
        </w:rPr>
        <w:t xml:space="preserve"> дискурсах</w:t>
      </w:r>
      <w:r w:rsidRPr="00E74254">
        <w:rPr>
          <w:rFonts w:ascii="Times New Roman" w:eastAsia="Times New Roman" w:hAnsi="Times New Roman" w:cs="Times New Roman"/>
          <w:color w:val="000000"/>
          <w:sz w:val="28"/>
          <w:szCs w:val="28"/>
          <w:lang w:eastAsia="ru-RU"/>
        </w:rPr>
        <w:t xml:space="preserve"> і оцінити цей феномен з точки зору форми, змісту і суті. </w:t>
      </w:r>
    </w:p>
    <w:p w:rsidR="00E74254" w:rsidRPr="00E74254" w:rsidRDefault="00E74254" w:rsidP="00E7425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74254">
        <w:rPr>
          <w:rFonts w:ascii="Times New Roman" w:eastAsia="Times New Roman" w:hAnsi="Times New Roman" w:cs="Times New Roman"/>
          <w:sz w:val="28"/>
          <w:szCs w:val="28"/>
          <w:lang w:eastAsia="ru-RU"/>
        </w:rPr>
        <w:t xml:space="preserve">Досліджено співвідношення передвиборної агітації та політичної та соціальної реклами і інституту інформаційного забезпеченням виборів. Визначено, що політична реклама має розглядатися як </w:t>
      </w:r>
      <w:r w:rsidRPr="00E74254">
        <w:rPr>
          <w:rFonts w:ascii="Times New Roman" w:eastAsia="Times New Roman" w:hAnsi="Times New Roman" w:cs="Times New Roman"/>
          <w:color w:val="000000"/>
          <w:sz w:val="28"/>
          <w:szCs w:val="28"/>
          <w:lang w:eastAsia="ru-RU"/>
        </w:rPr>
        <w:t xml:space="preserve">інформація про політичну партію чи окремих політиків загальнонаціонального або місцевого рівнів, розповсюджена в будь-якій формі та в будь-який спосіб, </w:t>
      </w:r>
      <w:r w:rsidRPr="00E74254">
        <w:rPr>
          <w:rFonts w:ascii="Times New Roman" w:eastAsia="Times New Roman" w:hAnsi="Times New Roman" w:cs="Times New Roman"/>
          <w:color w:val="0D0D0D"/>
          <w:sz w:val="28"/>
          <w:szCs w:val="28"/>
          <w:lang w:eastAsia="ru-RU"/>
        </w:rPr>
        <w:t xml:space="preserve">що має на </w:t>
      </w:r>
      <w:r w:rsidRPr="00E74254">
        <w:rPr>
          <w:rFonts w:ascii="Times New Roman" w:eastAsia="Times New Roman" w:hAnsi="Times New Roman" w:cs="Times New Roman"/>
          <w:color w:val="0D0D0D"/>
          <w:sz w:val="28"/>
          <w:szCs w:val="28"/>
          <w:lang w:eastAsia="ru-RU"/>
        </w:rPr>
        <w:lastRenderedPageBreak/>
        <w:t>меті прямо або опосередковано привернути увагу до суб’єктів політичного процесу,</w:t>
      </w:r>
      <w:r w:rsidRPr="00E74254">
        <w:rPr>
          <w:rFonts w:ascii="Times New Roman" w:eastAsia="Times New Roman" w:hAnsi="Times New Roman" w:cs="Times New Roman"/>
          <w:color w:val="000000"/>
          <w:sz w:val="28"/>
          <w:szCs w:val="28"/>
          <w:lang w:eastAsia="ru-RU"/>
        </w:rPr>
        <w:t xml:space="preserve">  сформувати або підтримати обізнаність громадян про них </w:t>
      </w:r>
      <w:r w:rsidRPr="00E74254">
        <w:rPr>
          <w:rFonts w:ascii="Times New Roman" w:eastAsia="Times New Roman" w:hAnsi="Times New Roman" w:cs="Times New Roman"/>
          <w:color w:val="0D0D0D"/>
          <w:sz w:val="28"/>
          <w:szCs w:val="28"/>
          <w:lang w:eastAsia="ru-RU"/>
        </w:rPr>
        <w:t>та спрямувати політичну поведінку громадян на підтримку таких суб’єктів політичного процесу у суспільному житті, зокрема, під час виборів (референдумів), а</w:t>
      </w:r>
      <w:r w:rsidRPr="00E74254">
        <w:rPr>
          <w:rFonts w:ascii="Times New Roman" w:eastAsia="Times New Roman" w:hAnsi="Times New Roman" w:cs="Times New Roman"/>
          <w:b/>
          <w:color w:val="0D0D0D"/>
          <w:sz w:val="24"/>
          <w:szCs w:val="24"/>
          <w:lang w:eastAsia="ru-RU"/>
        </w:rPr>
        <w:t xml:space="preserve"> </w:t>
      </w:r>
      <w:r w:rsidRPr="00E74254">
        <w:rPr>
          <w:rFonts w:ascii="Times New Roman" w:eastAsia="Times New Roman" w:hAnsi="Times New Roman" w:cs="Times New Roman"/>
          <w:color w:val="0D0D0D"/>
          <w:sz w:val="28"/>
          <w:szCs w:val="28"/>
          <w:lang w:eastAsia="ru-RU"/>
        </w:rPr>
        <w:t xml:space="preserve">соціальна реклама як </w:t>
      </w:r>
      <w:r w:rsidRPr="00E74254">
        <w:rPr>
          <w:rFonts w:ascii="Times New Roman" w:eastAsia="Times New Roman" w:hAnsi="Times New Roman" w:cs="Times New Roman"/>
          <w:color w:val="000000"/>
          <w:sz w:val="28"/>
          <w:szCs w:val="28"/>
          <w:lang w:eastAsia="ru-RU"/>
        </w:rPr>
        <w:t xml:space="preserve">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чи </w:t>
      </w:r>
      <w:r w:rsidRPr="00E74254">
        <w:rPr>
          <w:rFonts w:ascii="Times New Roman" w:eastAsia="Times New Roman" w:hAnsi="Times New Roman" w:cs="Times New Roman"/>
          <w:sz w:val="28"/>
          <w:szCs w:val="28"/>
          <w:lang w:eastAsia="ru-RU"/>
        </w:rPr>
        <w:t xml:space="preserve">привернути увагу до суб’єктів політичного процесу в Україні та </w:t>
      </w:r>
      <w:r w:rsidRPr="00E74254">
        <w:rPr>
          <w:rFonts w:ascii="Times New Roman" w:eastAsia="Times New Roman" w:hAnsi="Times New Roman" w:cs="Times New Roman"/>
          <w:color w:val="0D0D0D"/>
          <w:sz w:val="28"/>
          <w:szCs w:val="28"/>
          <w:lang w:eastAsia="ru-RU"/>
        </w:rPr>
        <w:t xml:space="preserve">спрямувати політичну поведінку громадян на підтримку певних суб’єктів політичного процесу у суспільному житті під час виборів (референдумів). </w:t>
      </w:r>
      <w:r w:rsidRPr="00E74254">
        <w:rPr>
          <w:rFonts w:ascii="Times New Roman" w:eastAsia="Times New Roman" w:hAnsi="Times New Roman" w:cs="Times New Roman"/>
          <w:color w:val="0D0D0D"/>
          <w:sz w:val="28"/>
          <w:szCs w:val="28"/>
          <w:shd w:val="clear" w:color="auto" w:fill="FFFFFF"/>
          <w:lang w:eastAsia="uk-UA"/>
        </w:rPr>
        <w:t>Основними критеріями, які дозволяють розмежувати агітацію від інформування виборців є мета, характер, зміст, суб’єкти впливу,</w:t>
      </w:r>
      <w:r w:rsidRPr="00E74254">
        <w:rPr>
          <w:rFonts w:ascii="Times New Roman" w:eastAsia="Times New Roman" w:hAnsi="Times New Roman" w:cs="Times New Roman"/>
          <w:b/>
          <w:color w:val="0D0D0D"/>
          <w:sz w:val="28"/>
          <w:szCs w:val="28"/>
          <w:shd w:val="clear" w:color="auto" w:fill="FFFFFF"/>
          <w:lang w:eastAsia="uk-UA"/>
        </w:rPr>
        <w:t xml:space="preserve"> </w:t>
      </w:r>
      <w:r w:rsidRPr="00E74254">
        <w:rPr>
          <w:rFonts w:ascii="Times New Roman" w:eastAsia="Times New Roman" w:hAnsi="Times New Roman" w:cs="Times New Roman"/>
          <w:color w:val="0D0D0D"/>
          <w:sz w:val="28"/>
          <w:szCs w:val="28"/>
          <w:shd w:val="clear" w:color="auto" w:fill="FFFFFF"/>
          <w:lang w:eastAsia="uk-UA"/>
        </w:rPr>
        <w:t>суб’єкти поширення, строки проведення передвиборної</w:t>
      </w:r>
      <w:r w:rsidRPr="00E74254">
        <w:rPr>
          <w:rFonts w:ascii="Times New Roman" w:eastAsia="Times New Roman" w:hAnsi="Times New Roman" w:cs="Times New Roman"/>
          <w:b/>
          <w:color w:val="0D0D0D"/>
          <w:sz w:val="28"/>
          <w:szCs w:val="28"/>
          <w:shd w:val="clear" w:color="auto" w:fill="FFFFFF"/>
          <w:lang w:eastAsia="uk-UA"/>
        </w:rPr>
        <w:t xml:space="preserve"> </w:t>
      </w:r>
      <w:r w:rsidRPr="00E74254">
        <w:rPr>
          <w:rFonts w:ascii="Times New Roman" w:eastAsia="Times New Roman" w:hAnsi="Times New Roman" w:cs="Times New Roman"/>
          <w:color w:val="0D0D0D"/>
          <w:sz w:val="28"/>
          <w:szCs w:val="28"/>
          <w:shd w:val="clear" w:color="auto" w:fill="FFFFFF"/>
          <w:lang w:eastAsia="uk-UA"/>
        </w:rPr>
        <w:t>агітації та інформаційного забезпечення виборів.</w:t>
      </w:r>
    </w:p>
    <w:p w:rsidR="00E74254" w:rsidRPr="00E74254" w:rsidRDefault="00E74254" w:rsidP="00E74254">
      <w:pPr>
        <w:spacing w:after="0" w:line="360" w:lineRule="auto"/>
        <w:ind w:firstLine="720"/>
        <w:jc w:val="both"/>
        <w:rPr>
          <w:rFonts w:ascii="Times New Roman" w:eastAsia="Times New Roman" w:hAnsi="Times New Roman" w:cs="Times New Roman"/>
          <w:sz w:val="24"/>
          <w:szCs w:val="24"/>
          <w:lang w:eastAsia="ru-RU"/>
        </w:rPr>
      </w:pPr>
      <w:r w:rsidRPr="00E74254">
        <w:rPr>
          <w:rFonts w:ascii="Times New Roman" w:eastAsia="Times New Roman" w:hAnsi="Times New Roman" w:cs="Times New Roman"/>
          <w:sz w:val="28"/>
          <w:szCs w:val="28"/>
          <w:lang w:eastAsia="ru-RU"/>
        </w:rPr>
        <w:t>В роботі охарактеризовані передбачені Виборчим кодексом України різноманітні форми та засоби передвиборної агітації на парламентських виборах, розкрито роль засобів масової інформації у цьому процесі, проаналізовано обмеження ведення передвиборної агітації, здійснено компаративне дослідження зарубіжного досвіду проведення передвиборної агітації на парламентських виборах.</w:t>
      </w:r>
    </w:p>
    <w:p w:rsidR="00E74254" w:rsidRPr="00E74254" w:rsidRDefault="00E74254" w:rsidP="00E74254">
      <w:pPr>
        <w:spacing w:after="0" w:line="360" w:lineRule="auto"/>
        <w:ind w:firstLine="720"/>
        <w:jc w:val="both"/>
        <w:rPr>
          <w:rFonts w:ascii="Times New Roman" w:eastAsia="Times New Roman" w:hAnsi="Times New Roman" w:cs="Times New Roman"/>
          <w:color w:val="0D0D0D"/>
          <w:sz w:val="28"/>
          <w:szCs w:val="28"/>
          <w:lang w:eastAsia="ru-RU"/>
        </w:rPr>
      </w:pPr>
      <w:r w:rsidRPr="00E74254">
        <w:rPr>
          <w:rFonts w:ascii="Times New Roman" w:eastAsia="Times New Roman" w:hAnsi="Times New Roman" w:cs="Times New Roman"/>
          <w:sz w:val="28"/>
          <w:szCs w:val="28"/>
          <w:lang w:eastAsia="ru-RU"/>
        </w:rPr>
        <w:t xml:space="preserve"> Сформовано висновок, що у ХХІ ст. деякі з форм передвиборної агітації втрачають свою актуальність. Натомість науково-технічний прогрес має наслідком розширення форм передвиборної агітації, запровадження новітніх технологій їх здійснення. Особливо яскраво це проявляється на прикладі цілого ряду зарубіжних країн,  в яких виборчі технології уже розглядаються як складова частина виборчого маркетингу.</w:t>
      </w:r>
      <w:r w:rsidRPr="00E74254">
        <w:rPr>
          <w:rFonts w:ascii="Times New Roman" w:eastAsia="Times New Roman" w:hAnsi="Times New Roman" w:cs="Times New Roman"/>
          <w:sz w:val="24"/>
          <w:szCs w:val="24"/>
          <w:lang w:eastAsia="ru-RU"/>
        </w:rPr>
        <w:t xml:space="preserve"> </w:t>
      </w:r>
      <w:r w:rsidRPr="00E74254">
        <w:rPr>
          <w:rFonts w:ascii="Times New Roman" w:eastAsia="Times New Roman" w:hAnsi="Times New Roman" w:cs="Times New Roman"/>
          <w:color w:val="0D0D0D"/>
          <w:sz w:val="28"/>
          <w:szCs w:val="28"/>
          <w:lang w:eastAsia="ru-RU"/>
        </w:rPr>
        <w:t xml:space="preserve">Також з розвитком новітніх технологій виникають все нові способи донесення інформації до населення, які поступово витісняють традиційні. В цьому плані слід виділити Інтернет, можливості якого все частіше використовують у передвиборній агітації. Виходячи з цього національне законодавство в </w:t>
      </w:r>
      <w:r w:rsidRPr="00E74254">
        <w:rPr>
          <w:rFonts w:ascii="Times New Roman" w:eastAsia="Times New Roman" w:hAnsi="Times New Roman" w:cs="Times New Roman"/>
          <w:color w:val="0D0D0D"/>
          <w:sz w:val="28"/>
          <w:szCs w:val="28"/>
          <w:lang w:eastAsia="ru-RU"/>
        </w:rPr>
        <w:lastRenderedPageBreak/>
        <w:t xml:space="preserve">частині регулювання передвиборної агітації під час виборів народних депутатів України потребує свого удосконалення, також </w:t>
      </w:r>
      <w:r w:rsidRPr="00E74254">
        <w:rPr>
          <w:rFonts w:ascii="Times New Roman" w:eastAsia="Times New Roman" w:hAnsi="Times New Roman" w:cs="Times New Roman"/>
          <w:sz w:val="28"/>
          <w:szCs w:val="28"/>
          <w:lang w:eastAsia="ru-RU"/>
        </w:rPr>
        <w:t xml:space="preserve"> варто внести зміни і доповнення до Виборчого кодексу України щодо визначення статусу агітаторів, строків проведення передвиборної агітації, форм і засобів її проведення, обмежень щодо здійснення передвиборної агітації, запровадження в Україні медійного виборчого омбудсмана</w:t>
      </w:r>
      <w:r w:rsidRPr="00E74254">
        <w:rPr>
          <w:rFonts w:ascii="Times New Roman" w:eastAsia="Times New Roman" w:hAnsi="Times New Roman" w:cs="Times New Roman"/>
          <w:color w:val="0D0D0D"/>
          <w:sz w:val="28"/>
          <w:szCs w:val="28"/>
          <w:lang w:eastAsia="ru-RU"/>
        </w:rPr>
        <w:t>.</w:t>
      </w:r>
    </w:p>
    <w:p w:rsidR="00E74254" w:rsidRPr="00E74254" w:rsidRDefault="00E74254" w:rsidP="00E74254">
      <w:pPr>
        <w:tabs>
          <w:tab w:val="left" w:pos="720"/>
        </w:tabs>
        <w:spacing w:after="0" w:line="360" w:lineRule="auto"/>
        <w:ind w:firstLine="720"/>
        <w:jc w:val="both"/>
        <w:rPr>
          <w:rFonts w:ascii="Times New Roman" w:eastAsia="Times New Roman" w:hAnsi="Times New Roman" w:cs="Times New Roman"/>
          <w:sz w:val="28"/>
          <w:szCs w:val="28"/>
          <w:lang w:eastAsia="ru-RU"/>
        </w:rPr>
      </w:pPr>
      <w:r w:rsidRPr="00E74254">
        <w:rPr>
          <w:rFonts w:ascii="Times New Roman" w:eastAsia="Times New Roman" w:hAnsi="Times New Roman" w:cs="Times New Roman"/>
          <w:b/>
          <w:i/>
          <w:color w:val="000000"/>
          <w:sz w:val="28"/>
          <w:szCs w:val="28"/>
          <w:shd w:val="clear" w:color="auto" w:fill="FFFFFF"/>
          <w:lang w:eastAsia="ru-RU"/>
        </w:rPr>
        <w:t>К</w:t>
      </w:r>
      <w:r w:rsidRPr="00E74254">
        <w:rPr>
          <w:rFonts w:ascii="Times New Roman" w:eastAsia="Times New Roman" w:hAnsi="Times New Roman" w:cs="Times New Roman"/>
          <w:b/>
          <w:i/>
          <w:sz w:val="28"/>
          <w:szCs w:val="28"/>
          <w:lang w:eastAsia="ru-RU"/>
        </w:rPr>
        <w:t>лючові слова:</w:t>
      </w:r>
      <w:r w:rsidRPr="00E74254">
        <w:rPr>
          <w:rFonts w:ascii="Times New Roman" w:eastAsia="Times New Roman" w:hAnsi="Times New Roman" w:cs="Times New Roman"/>
          <w:sz w:val="28"/>
          <w:szCs w:val="28"/>
          <w:lang w:eastAsia="ru-RU"/>
        </w:rPr>
        <w:t xml:space="preserve"> вибори народних депутатів України, передвиборна агітація, політична реклама, соціальна реклама, інформаційне забезпечення виборів, форми та засоби передвиборної агітації, обмеження передвиборної агітації.</w:t>
      </w:r>
    </w:p>
    <w:p w:rsidR="00E74254" w:rsidRPr="00E74254" w:rsidRDefault="00E74254" w:rsidP="00E74254">
      <w:pPr>
        <w:tabs>
          <w:tab w:val="left" w:pos="720"/>
        </w:tabs>
        <w:spacing w:after="0" w:line="360" w:lineRule="auto"/>
        <w:ind w:firstLine="720"/>
        <w:jc w:val="both"/>
        <w:rPr>
          <w:rFonts w:ascii="Times New Roman" w:eastAsia="Times New Roman" w:hAnsi="Times New Roman" w:cs="Times New Roman"/>
          <w:sz w:val="28"/>
          <w:szCs w:val="28"/>
          <w:highlight w:val="yellow"/>
          <w:lang w:eastAsia="ru-RU"/>
        </w:rPr>
      </w:pPr>
    </w:p>
    <w:p w:rsidR="00AC7EA9" w:rsidRPr="00B82162" w:rsidRDefault="00AC7EA9" w:rsidP="00AC7EA9">
      <w:pPr>
        <w:spacing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Список публікацій за темою дисертації</w:t>
      </w:r>
    </w:p>
    <w:p w:rsidR="00AC7EA9" w:rsidRPr="00B82162" w:rsidRDefault="00AC7EA9" w:rsidP="00AC7EA9">
      <w:pPr>
        <w:spacing w:after="0"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 xml:space="preserve">Наукові праці, в яких опубліковані основні наукові результати </w:t>
      </w:r>
    </w:p>
    <w:p w:rsidR="00AC7EA9" w:rsidRDefault="00AC7EA9" w:rsidP="00AC7EA9">
      <w:pPr>
        <w:spacing w:after="0"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дисертації:</w:t>
      </w:r>
    </w:p>
    <w:p w:rsidR="00AC7EA9" w:rsidRP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w:t>
      </w:r>
      <w:r w:rsidRPr="00AC7EA9">
        <w:rPr>
          <w:rFonts w:ascii="Times New Roman" w:eastAsia="Times New Roman" w:hAnsi="Times New Roman" w:cs="Times New Roman"/>
          <w:color w:val="000000"/>
          <w:sz w:val="28"/>
          <w:szCs w:val="28"/>
          <w:lang w:eastAsia="ru-RU"/>
        </w:rPr>
        <w:t xml:space="preserve">Види форм і засобів передвиборної агітації на парламентських виборах: українська практика та зарубіжний досвід. </w:t>
      </w:r>
      <w:r w:rsidRPr="00AC7EA9">
        <w:rPr>
          <w:rFonts w:ascii="Times New Roman" w:eastAsia="Times New Roman" w:hAnsi="Times New Roman" w:cs="Times New Roman"/>
          <w:i/>
          <w:color w:val="000000"/>
          <w:sz w:val="28"/>
          <w:szCs w:val="28"/>
          <w:lang w:eastAsia="ru-RU"/>
        </w:rPr>
        <w:t>Південноукраїнський правничий часопис</w:t>
      </w:r>
      <w:r w:rsidRPr="00AC7EA9">
        <w:rPr>
          <w:rFonts w:ascii="Times New Roman" w:eastAsia="Times New Roman" w:hAnsi="Times New Roman" w:cs="Times New Roman"/>
          <w:color w:val="000000"/>
          <w:sz w:val="28"/>
          <w:szCs w:val="28"/>
          <w:lang w:eastAsia="ru-RU"/>
        </w:rPr>
        <w:t>. 2019. № 4. Ч. 2. С. 21-25</w:t>
      </w:r>
      <w:r w:rsidR="00AC7EA9">
        <w:rPr>
          <w:rFonts w:ascii="Times New Roman" w:eastAsia="Times New Roman" w:hAnsi="Times New Roman" w:cs="Times New Roman"/>
          <w:color w:val="000000"/>
          <w:sz w:val="28"/>
          <w:szCs w:val="28"/>
          <w:lang w:eastAsia="ru-RU"/>
        </w:rPr>
        <w:t>;</w:t>
      </w:r>
    </w:p>
    <w:p w:rsid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Обмеження ведення передвиборної агітації на парламентських виборах у сучасній конституційно-правовій практиці України та зарубіжних держав. </w:t>
      </w:r>
      <w:r w:rsidRPr="00AC7EA9">
        <w:rPr>
          <w:rFonts w:ascii="Times New Roman" w:eastAsia="Times New Roman" w:hAnsi="Times New Roman" w:cs="Times New Roman"/>
          <w:i/>
          <w:sz w:val="28"/>
          <w:szCs w:val="28"/>
          <w:lang w:eastAsia="ru-RU"/>
        </w:rPr>
        <w:t>Порівняльно-аналітичне право</w:t>
      </w:r>
      <w:r w:rsidRPr="00AC7EA9">
        <w:rPr>
          <w:rFonts w:ascii="Times New Roman" w:eastAsia="Times New Roman" w:hAnsi="Times New Roman" w:cs="Times New Roman"/>
          <w:i/>
          <w:sz w:val="28"/>
          <w:szCs w:val="28"/>
          <w:lang w:val="ru-RU" w:eastAsia="ru-RU"/>
        </w:rPr>
        <w:t> </w:t>
      </w:r>
      <w:r w:rsidRPr="00AC7EA9">
        <w:rPr>
          <w:rFonts w:ascii="Times New Roman" w:eastAsia="Times New Roman" w:hAnsi="Times New Roman" w:cs="Times New Roman"/>
          <w:i/>
          <w:sz w:val="28"/>
          <w:szCs w:val="28"/>
          <w:lang w:eastAsia="ru-RU"/>
        </w:rPr>
        <w:t>–</w:t>
      </w:r>
      <w:r w:rsidRPr="00AC7EA9">
        <w:rPr>
          <w:rFonts w:ascii="Times New Roman" w:eastAsia="Times New Roman" w:hAnsi="Times New Roman" w:cs="Times New Roman"/>
          <w:i/>
          <w:sz w:val="28"/>
          <w:szCs w:val="28"/>
          <w:lang w:val="ru-RU" w:eastAsia="ru-RU"/>
        </w:rPr>
        <w:t> </w:t>
      </w:r>
      <w:r w:rsidRPr="00AC7EA9">
        <w:rPr>
          <w:rFonts w:ascii="Times New Roman" w:eastAsia="Times New Roman" w:hAnsi="Times New Roman" w:cs="Times New Roman"/>
          <w:i/>
          <w:sz w:val="28"/>
          <w:szCs w:val="28"/>
          <w:lang w:eastAsia="ru-RU"/>
        </w:rPr>
        <w:t>електронне наукове фахове видання юридичного факультету ДВНЗ «Ужгородський національний університет».</w:t>
      </w:r>
      <w:r w:rsidRPr="00AC7EA9">
        <w:rPr>
          <w:rFonts w:ascii="Times New Roman" w:eastAsia="Times New Roman" w:hAnsi="Times New Roman" w:cs="Times New Roman"/>
          <w:sz w:val="28"/>
          <w:szCs w:val="28"/>
          <w:lang w:eastAsia="ru-RU"/>
        </w:rPr>
        <w:t xml:space="preserve"> 2019.  № 5. </w:t>
      </w:r>
      <w:r w:rsidRPr="00AC7EA9">
        <w:rPr>
          <w:rFonts w:ascii="Times New Roman" w:eastAsia="Times New Roman" w:hAnsi="Times New Roman" w:cs="Times New Roman"/>
          <w:sz w:val="28"/>
          <w:szCs w:val="28"/>
          <w:lang w:val="en-US" w:eastAsia="ru-RU"/>
        </w:rPr>
        <w:t>C</w:t>
      </w:r>
      <w:r w:rsidRPr="00AC7EA9">
        <w:rPr>
          <w:rFonts w:ascii="Times New Roman" w:eastAsia="Times New Roman" w:hAnsi="Times New Roman" w:cs="Times New Roman"/>
          <w:sz w:val="28"/>
          <w:szCs w:val="28"/>
          <w:lang w:eastAsia="ru-RU"/>
        </w:rPr>
        <w:t>. 60-64</w:t>
      </w:r>
      <w:r w:rsidR="00AC7EA9">
        <w:rPr>
          <w:rFonts w:ascii="Times New Roman" w:eastAsia="Times New Roman" w:hAnsi="Times New Roman" w:cs="Times New Roman"/>
          <w:sz w:val="28"/>
          <w:szCs w:val="28"/>
          <w:lang w:eastAsia="ru-RU"/>
        </w:rPr>
        <w:t>;</w:t>
      </w:r>
    </w:p>
    <w:p w:rsidR="00AC7EA9" w:rsidRP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Правова природа </w:t>
      </w:r>
      <w:r w:rsidRPr="00AC7EA9">
        <w:rPr>
          <w:rFonts w:ascii="Times New Roman" w:eastAsia="Times New Roman" w:hAnsi="Times New Roman" w:cs="Times New Roman"/>
          <w:color w:val="000000"/>
          <w:sz w:val="28"/>
          <w:szCs w:val="28"/>
          <w:lang w:eastAsia="ru-RU"/>
        </w:rPr>
        <w:t xml:space="preserve">передвиборної агітації. </w:t>
      </w:r>
      <w:proofErr w:type="spellStart"/>
      <w:r w:rsidRPr="00AC7EA9">
        <w:rPr>
          <w:rFonts w:ascii="Times New Roman" w:eastAsia="Times New Roman" w:hAnsi="Times New Roman" w:cs="Times New Roman"/>
          <w:i/>
          <w:color w:val="000000"/>
          <w:sz w:val="28"/>
          <w:szCs w:val="28"/>
          <w:lang w:val="en-US" w:eastAsia="ru-RU"/>
        </w:rPr>
        <w:t>Visegrad</w:t>
      </w:r>
      <w:proofErr w:type="spellEnd"/>
      <w:r w:rsidRPr="00AC7EA9">
        <w:rPr>
          <w:rFonts w:ascii="Times New Roman" w:eastAsia="Times New Roman" w:hAnsi="Times New Roman" w:cs="Times New Roman"/>
          <w:i/>
          <w:color w:val="000000"/>
          <w:sz w:val="28"/>
          <w:szCs w:val="28"/>
          <w:lang w:eastAsia="ru-RU"/>
        </w:rPr>
        <w:t xml:space="preserve"> </w:t>
      </w:r>
      <w:r w:rsidRPr="00AC7EA9">
        <w:rPr>
          <w:rFonts w:ascii="Times New Roman" w:eastAsia="Times New Roman" w:hAnsi="Times New Roman" w:cs="Times New Roman"/>
          <w:i/>
          <w:color w:val="000000"/>
          <w:sz w:val="28"/>
          <w:szCs w:val="28"/>
          <w:lang w:val="en-US" w:eastAsia="ru-RU"/>
        </w:rPr>
        <w:t>Journal</w:t>
      </w:r>
      <w:r w:rsidRPr="00AC7EA9">
        <w:rPr>
          <w:rFonts w:ascii="Times New Roman" w:eastAsia="Times New Roman" w:hAnsi="Times New Roman" w:cs="Times New Roman"/>
          <w:i/>
          <w:color w:val="000000"/>
          <w:sz w:val="28"/>
          <w:szCs w:val="28"/>
          <w:lang w:eastAsia="ru-RU"/>
        </w:rPr>
        <w:t xml:space="preserve"> </w:t>
      </w:r>
      <w:r w:rsidRPr="00AC7EA9">
        <w:rPr>
          <w:rFonts w:ascii="Times New Roman" w:eastAsia="Times New Roman" w:hAnsi="Times New Roman" w:cs="Times New Roman"/>
          <w:i/>
          <w:color w:val="000000"/>
          <w:sz w:val="28"/>
          <w:szCs w:val="28"/>
          <w:lang w:val="en-US" w:eastAsia="ru-RU"/>
        </w:rPr>
        <w:t>on</w:t>
      </w:r>
      <w:r w:rsidRPr="00AC7EA9">
        <w:rPr>
          <w:rFonts w:ascii="Times New Roman" w:eastAsia="Times New Roman" w:hAnsi="Times New Roman" w:cs="Times New Roman"/>
          <w:i/>
          <w:color w:val="000000"/>
          <w:sz w:val="28"/>
          <w:szCs w:val="28"/>
          <w:lang w:eastAsia="ru-RU"/>
        </w:rPr>
        <w:t xml:space="preserve"> </w:t>
      </w:r>
      <w:r w:rsidRPr="00AC7EA9">
        <w:rPr>
          <w:rFonts w:ascii="Times New Roman" w:eastAsia="Times New Roman" w:hAnsi="Times New Roman" w:cs="Times New Roman"/>
          <w:i/>
          <w:color w:val="000000"/>
          <w:sz w:val="28"/>
          <w:szCs w:val="28"/>
          <w:lang w:val="en-US" w:eastAsia="ru-RU"/>
        </w:rPr>
        <w:t>Human</w:t>
      </w:r>
      <w:r w:rsidRPr="00AC7EA9">
        <w:rPr>
          <w:rFonts w:ascii="Times New Roman" w:eastAsia="Times New Roman" w:hAnsi="Times New Roman" w:cs="Times New Roman"/>
          <w:i/>
          <w:color w:val="000000"/>
          <w:sz w:val="28"/>
          <w:szCs w:val="28"/>
          <w:lang w:eastAsia="ru-RU"/>
        </w:rPr>
        <w:t xml:space="preserve"> </w:t>
      </w:r>
      <w:r w:rsidRPr="00AC7EA9">
        <w:rPr>
          <w:rFonts w:ascii="Times New Roman" w:eastAsia="Times New Roman" w:hAnsi="Times New Roman" w:cs="Times New Roman"/>
          <w:i/>
          <w:color w:val="000000"/>
          <w:sz w:val="28"/>
          <w:szCs w:val="28"/>
          <w:lang w:val="en-US" w:eastAsia="ru-RU"/>
        </w:rPr>
        <w:t>Rights</w:t>
      </w:r>
      <w:r w:rsidRPr="00AC7EA9">
        <w:rPr>
          <w:rFonts w:ascii="Times New Roman" w:eastAsia="Times New Roman" w:hAnsi="Times New Roman" w:cs="Times New Roman"/>
          <w:i/>
          <w:color w:val="000000"/>
          <w:sz w:val="28"/>
          <w:szCs w:val="28"/>
          <w:lang w:eastAsia="ru-RU"/>
        </w:rPr>
        <w:t xml:space="preserve">. </w:t>
      </w:r>
      <w:r w:rsidRPr="00AC7EA9">
        <w:rPr>
          <w:rFonts w:ascii="Times New Roman" w:eastAsia="Times New Roman" w:hAnsi="Times New Roman" w:cs="Times New Roman"/>
          <w:color w:val="000000"/>
          <w:sz w:val="28"/>
          <w:szCs w:val="28"/>
          <w:lang w:eastAsia="ru-RU"/>
        </w:rPr>
        <w:t>2019. № 6 (</w:t>
      </w:r>
      <w:r w:rsidRPr="00AC7EA9">
        <w:rPr>
          <w:rFonts w:ascii="Times New Roman" w:eastAsia="Times New Roman" w:hAnsi="Times New Roman" w:cs="Times New Roman"/>
          <w:color w:val="000000"/>
          <w:sz w:val="28"/>
          <w:szCs w:val="28"/>
          <w:lang w:val="en-US" w:eastAsia="ru-RU"/>
        </w:rPr>
        <w:t>volume</w:t>
      </w:r>
      <w:r w:rsidRPr="00AC7EA9">
        <w:rPr>
          <w:rFonts w:ascii="Times New Roman" w:eastAsia="Times New Roman" w:hAnsi="Times New Roman" w:cs="Times New Roman"/>
          <w:color w:val="000000"/>
          <w:sz w:val="28"/>
          <w:szCs w:val="28"/>
          <w:lang w:eastAsia="ru-RU"/>
        </w:rPr>
        <w:t xml:space="preserve"> 1). </w:t>
      </w:r>
      <w:r w:rsidRPr="00AC7EA9">
        <w:rPr>
          <w:rFonts w:ascii="Times New Roman" w:eastAsia="Times New Roman" w:hAnsi="Times New Roman" w:cs="Times New Roman"/>
          <w:color w:val="000000"/>
          <w:sz w:val="28"/>
          <w:szCs w:val="28"/>
          <w:lang w:val="en-US" w:eastAsia="ru-RU"/>
        </w:rPr>
        <w:t>C</w:t>
      </w:r>
      <w:r w:rsidRPr="00AC7EA9">
        <w:rPr>
          <w:rFonts w:ascii="Times New Roman" w:eastAsia="Times New Roman" w:hAnsi="Times New Roman" w:cs="Times New Roman"/>
          <w:color w:val="000000"/>
          <w:sz w:val="28"/>
          <w:szCs w:val="28"/>
          <w:lang w:eastAsia="ru-RU"/>
        </w:rPr>
        <w:t>. 81-87</w:t>
      </w:r>
      <w:r w:rsidR="00AC7EA9">
        <w:rPr>
          <w:rFonts w:ascii="Times New Roman" w:eastAsia="Times New Roman" w:hAnsi="Times New Roman" w:cs="Times New Roman"/>
          <w:color w:val="000000"/>
          <w:sz w:val="28"/>
          <w:szCs w:val="28"/>
          <w:lang w:eastAsia="ru-RU"/>
        </w:rPr>
        <w:t>;</w:t>
      </w:r>
    </w:p>
    <w:p w:rsid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Співвідношення передвиборної агітації з політичною і соціальною рекламою. </w:t>
      </w:r>
      <w:r w:rsidRPr="00AC7EA9">
        <w:rPr>
          <w:rFonts w:ascii="Times New Roman" w:eastAsia="Times New Roman" w:hAnsi="Times New Roman" w:cs="Times New Roman"/>
          <w:i/>
          <w:sz w:val="28"/>
          <w:szCs w:val="28"/>
          <w:lang w:eastAsia="ru-RU"/>
        </w:rPr>
        <w:t xml:space="preserve">Науково-інформаційний вісник Івано-Франківського університету права імені Короля Данила Галицького. </w:t>
      </w:r>
      <w:proofErr w:type="spellStart"/>
      <w:r w:rsidRPr="00AC7EA9">
        <w:rPr>
          <w:rFonts w:ascii="Times New Roman" w:eastAsia="Times New Roman" w:hAnsi="Times New Roman" w:cs="Times New Roman"/>
          <w:i/>
          <w:sz w:val="28"/>
          <w:szCs w:val="28"/>
          <w:lang w:val="ru-RU" w:eastAsia="ru-RU"/>
        </w:rPr>
        <w:t>Серія</w:t>
      </w:r>
      <w:proofErr w:type="spellEnd"/>
      <w:r w:rsidRPr="00AC7EA9">
        <w:rPr>
          <w:rFonts w:ascii="Times New Roman" w:eastAsia="Times New Roman" w:hAnsi="Times New Roman" w:cs="Times New Roman"/>
          <w:i/>
          <w:sz w:val="28"/>
          <w:szCs w:val="28"/>
          <w:lang w:val="ru-RU" w:eastAsia="ru-RU"/>
        </w:rPr>
        <w:t xml:space="preserve"> Право.</w:t>
      </w:r>
      <w:r w:rsidRPr="00AC7EA9">
        <w:rPr>
          <w:rFonts w:ascii="Times New Roman" w:eastAsia="Times New Roman" w:hAnsi="Times New Roman" w:cs="Times New Roman"/>
          <w:sz w:val="28"/>
          <w:szCs w:val="28"/>
          <w:lang w:val="ru-RU" w:eastAsia="ru-RU"/>
        </w:rPr>
        <w:t xml:space="preserve"> 2019. №. 8 (20).</w:t>
      </w:r>
      <w:r w:rsidRPr="00AC7EA9">
        <w:rPr>
          <w:rFonts w:ascii="Times New Roman" w:eastAsia="Times New Roman" w:hAnsi="Times New Roman" w:cs="Times New Roman"/>
          <w:sz w:val="24"/>
          <w:szCs w:val="24"/>
          <w:lang w:val="ru-RU" w:eastAsia="ru-RU"/>
        </w:rPr>
        <w:t xml:space="preserve"> </w:t>
      </w:r>
      <w:r w:rsidRPr="00AC7EA9">
        <w:rPr>
          <w:rFonts w:ascii="Times New Roman" w:eastAsia="Times New Roman" w:hAnsi="Times New Roman" w:cs="Times New Roman"/>
          <w:sz w:val="28"/>
          <w:szCs w:val="28"/>
          <w:lang w:eastAsia="ru-RU"/>
        </w:rPr>
        <w:t>С. 105-111</w:t>
      </w:r>
      <w:r w:rsidR="00AC7EA9">
        <w:rPr>
          <w:rFonts w:ascii="Times New Roman" w:eastAsia="Times New Roman" w:hAnsi="Times New Roman" w:cs="Times New Roman"/>
          <w:sz w:val="28"/>
          <w:szCs w:val="28"/>
          <w:lang w:eastAsia="ru-RU"/>
        </w:rPr>
        <w:t>;</w:t>
      </w:r>
    </w:p>
    <w:p w:rsidR="00AC7EA9" w:rsidRPr="00AC7EA9" w:rsidRDefault="00AC7EA9" w:rsidP="00AC7EA9">
      <w:pPr>
        <w:pStyle w:val="a3"/>
        <w:spacing w:line="360" w:lineRule="auto"/>
        <w:rPr>
          <w:rFonts w:ascii="Times New Roman" w:hAnsi="Times New Roman" w:cs="Times New Roman"/>
          <w:b/>
          <w:bCs/>
          <w:sz w:val="28"/>
          <w:szCs w:val="28"/>
        </w:rPr>
      </w:pPr>
      <w:r w:rsidRPr="00AC7EA9">
        <w:rPr>
          <w:rFonts w:ascii="Times New Roman" w:hAnsi="Times New Roman" w:cs="Times New Roman"/>
          <w:b/>
          <w:bCs/>
          <w:sz w:val="28"/>
          <w:szCs w:val="28"/>
        </w:rPr>
        <w:t>Наукові праці, які засвідчують апробацію матеріалів дисертації:</w:t>
      </w:r>
    </w:p>
    <w:p w:rsidR="00AC7EA9" w:rsidRPr="00AC7EA9" w:rsidRDefault="00AC7EA9" w:rsidP="00AC7EA9">
      <w:pPr>
        <w:spacing w:after="0" w:line="360" w:lineRule="auto"/>
        <w:jc w:val="both"/>
        <w:rPr>
          <w:rFonts w:ascii="Times New Roman" w:eastAsia="Times New Roman" w:hAnsi="Times New Roman" w:cs="Times New Roman"/>
          <w:sz w:val="28"/>
          <w:szCs w:val="28"/>
          <w:lang w:eastAsia="ru-RU"/>
        </w:rPr>
      </w:pPr>
    </w:p>
    <w:p w:rsid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Роль електронних (аудіовізуальних) ЗМІ у передвиборній агітації при виборах депутатів парламенту. </w:t>
      </w:r>
      <w:r w:rsidRPr="00AC7EA9">
        <w:rPr>
          <w:rFonts w:ascii="Times New Roman" w:eastAsia="Times New Roman" w:hAnsi="Times New Roman" w:cs="Times New Roman"/>
          <w:i/>
          <w:sz w:val="28"/>
          <w:szCs w:val="28"/>
          <w:lang w:eastAsia="ru-RU"/>
        </w:rPr>
        <w:t>Конституційно-правове будівництво на зламі епох: пошуки оптимальних моделей</w:t>
      </w:r>
      <w:r w:rsidRPr="00AC7EA9">
        <w:rPr>
          <w:rFonts w:ascii="Times New Roman" w:eastAsia="Times New Roman" w:hAnsi="Times New Roman" w:cs="Times New Roman"/>
          <w:sz w:val="28"/>
          <w:szCs w:val="28"/>
          <w:lang w:eastAsia="ru-RU"/>
        </w:rPr>
        <w:t xml:space="preserve"> : матеріали </w:t>
      </w:r>
      <w:proofErr w:type="spellStart"/>
      <w:r w:rsidRPr="00AC7EA9">
        <w:rPr>
          <w:rFonts w:ascii="Times New Roman" w:eastAsia="Times New Roman" w:hAnsi="Times New Roman" w:cs="Times New Roman"/>
          <w:sz w:val="28"/>
          <w:szCs w:val="28"/>
          <w:lang w:eastAsia="ru-RU"/>
        </w:rPr>
        <w:t>міжн</w:t>
      </w:r>
      <w:proofErr w:type="spellEnd"/>
      <w:r w:rsidRPr="00AC7EA9">
        <w:rPr>
          <w:rFonts w:ascii="Times New Roman" w:eastAsia="Times New Roman" w:hAnsi="Times New Roman" w:cs="Times New Roman"/>
          <w:sz w:val="28"/>
          <w:szCs w:val="28"/>
          <w:lang w:eastAsia="ru-RU"/>
        </w:rPr>
        <w:t>. наук.-</w:t>
      </w:r>
      <w:proofErr w:type="spellStart"/>
      <w:r w:rsidRPr="00AC7EA9">
        <w:rPr>
          <w:rFonts w:ascii="Times New Roman" w:eastAsia="Times New Roman" w:hAnsi="Times New Roman" w:cs="Times New Roman"/>
          <w:sz w:val="28"/>
          <w:szCs w:val="28"/>
          <w:lang w:eastAsia="ru-RU"/>
        </w:rPr>
        <w:t>практ</w:t>
      </w:r>
      <w:proofErr w:type="spellEnd"/>
      <w:r w:rsidRPr="00AC7EA9">
        <w:rPr>
          <w:rFonts w:ascii="Times New Roman" w:eastAsia="Times New Roman" w:hAnsi="Times New Roman" w:cs="Times New Roman"/>
          <w:sz w:val="28"/>
          <w:szCs w:val="28"/>
          <w:lang w:eastAsia="ru-RU"/>
        </w:rPr>
        <w:t xml:space="preserve">. </w:t>
      </w:r>
      <w:proofErr w:type="spellStart"/>
      <w:r w:rsidRPr="00AC7EA9">
        <w:rPr>
          <w:rFonts w:ascii="Times New Roman" w:eastAsia="Times New Roman" w:hAnsi="Times New Roman" w:cs="Times New Roman"/>
          <w:sz w:val="28"/>
          <w:szCs w:val="28"/>
          <w:lang w:eastAsia="ru-RU"/>
        </w:rPr>
        <w:t>конф</w:t>
      </w:r>
      <w:proofErr w:type="spellEnd"/>
      <w:r w:rsidRPr="00AC7EA9">
        <w:rPr>
          <w:rFonts w:ascii="Times New Roman" w:eastAsia="Times New Roman" w:hAnsi="Times New Roman" w:cs="Times New Roman"/>
          <w:sz w:val="28"/>
          <w:szCs w:val="28"/>
          <w:lang w:eastAsia="ru-RU"/>
        </w:rPr>
        <w:t>. (м. Ужгород, 3-4 травня 2019 р.). Ужгород, Ужгородський національний університет, 2019. С. 250-254</w:t>
      </w:r>
      <w:r w:rsidR="00AC7EA9">
        <w:rPr>
          <w:rFonts w:ascii="Times New Roman" w:eastAsia="Times New Roman" w:hAnsi="Times New Roman" w:cs="Times New Roman"/>
          <w:sz w:val="28"/>
          <w:szCs w:val="28"/>
          <w:lang w:eastAsia="ru-RU"/>
        </w:rPr>
        <w:t>;</w:t>
      </w:r>
    </w:p>
    <w:p w:rsid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Місце друкованих засобів масової інформації у передвиборній агітації при виборах народних депутатів України. </w:t>
      </w:r>
      <w:r w:rsidRPr="00AC7EA9">
        <w:rPr>
          <w:rFonts w:ascii="Times New Roman" w:eastAsia="Times New Roman" w:hAnsi="Times New Roman" w:cs="Times New Roman"/>
          <w:i/>
          <w:sz w:val="28"/>
          <w:szCs w:val="28"/>
          <w:lang w:eastAsia="ru-RU"/>
        </w:rPr>
        <w:t xml:space="preserve">Правоохоронна функція держави: теоретико-методологічні та історико-правові проблеми </w:t>
      </w:r>
      <w:r w:rsidRPr="00AC7EA9">
        <w:rPr>
          <w:rFonts w:ascii="Times New Roman" w:eastAsia="Times New Roman" w:hAnsi="Times New Roman" w:cs="Times New Roman"/>
          <w:sz w:val="28"/>
          <w:szCs w:val="28"/>
          <w:lang w:eastAsia="ru-RU"/>
        </w:rPr>
        <w:t xml:space="preserve">: тези </w:t>
      </w:r>
      <w:proofErr w:type="spellStart"/>
      <w:r w:rsidRPr="00AC7EA9">
        <w:rPr>
          <w:rFonts w:ascii="Times New Roman" w:eastAsia="Times New Roman" w:hAnsi="Times New Roman" w:cs="Times New Roman"/>
          <w:sz w:val="28"/>
          <w:szCs w:val="28"/>
          <w:lang w:eastAsia="ru-RU"/>
        </w:rPr>
        <w:t>доп</w:t>
      </w:r>
      <w:proofErr w:type="spellEnd"/>
      <w:r w:rsidRPr="00AC7EA9">
        <w:rPr>
          <w:rFonts w:ascii="Times New Roman" w:eastAsia="Times New Roman" w:hAnsi="Times New Roman" w:cs="Times New Roman"/>
          <w:sz w:val="28"/>
          <w:szCs w:val="28"/>
          <w:lang w:eastAsia="ru-RU"/>
        </w:rPr>
        <w:t xml:space="preserve">. учасників </w:t>
      </w:r>
      <w:proofErr w:type="spellStart"/>
      <w:r w:rsidRPr="00AC7EA9">
        <w:rPr>
          <w:rFonts w:ascii="Times New Roman" w:eastAsia="Times New Roman" w:hAnsi="Times New Roman" w:cs="Times New Roman"/>
          <w:sz w:val="28"/>
          <w:szCs w:val="28"/>
          <w:lang w:eastAsia="ru-RU"/>
        </w:rPr>
        <w:t>міжнар</w:t>
      </w:r>
      <w:proofErr w:type="spellEnd"/>
      <w:r w:rsidRPr="00AC7EA9">
        <w:rPr>
          <w:rFonts w:ascii="Times New Roman" w:eastAsia="Times New Roman" w:hAnsi="Times New Roman" w:cs="Times New Roman"/>
          <w:sz w:val="28"/>
          <w:szCs w:val="28"/>
          <w:lang w:eastAsia="ru-RU"/>
        </w:rPr>
        <w:t>. наук.-</w:t>
      </w:r>
      <w:proofErr w:type="spellStart"/>
      <w:r w:rsidRPr="00AC7EA9">
        <w:rPr>
          <w:rFonts w:ascii="Times New Roman" w:eastAsia="Times New Roman" w:hAnsi="Times New Roman" w:cs="Times New Roman"/>
          <w:sz w:val="28"/>
          <w:szCs w:val="28"/>
          <w:lang w:eastAsia="ru-RU"/>
        </w:rPr>
        <w:t>практ</w:t>
      </w:r>
      <w:proofErr w:type="spellEnd"/>
      <w:r w:rsidRPr="00AC7EA9">
        <w:rPr>
          <w:rFonts w:ascii="Times New Roman" w:eastAsia="Times New Roman" w:hAnsi="Times New Roman" w:cs="Times New Roman"/>
          <w:sz w:val="28"/>
          <w:szCs w:val="28"/>
          <w:lang w:eastAsia="ru-RU"/>
        </w:rPr>
        <w:t>. конференції (м. Харків, 17 травня 2019 р.). Харків : ХНУВС, 2019. С. 44-47</w:t>
      </w:r>
      <w:r w:rsidR="00AC7EA9">
        <w:rPr>
          <w:rFonts w:ascii="Times New Roman" w:eastAsia="Times New Roman" w:hAnsi="Times New Roman" w:cs="Times New Roman"/>
          <w:sz w:val="28"/>
          <w:szCs w:val="28"/>
          <w:lang w:eastAsia="ru-RU"/>
        </w:rPr>
        <w:t>;</w:t>
      </w:r>
    </w:p>
    <w:p w:rsid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Вибори як фактор сприяння децентралізації влади в Україні. </w:t>
      </w:r>
      <w:r w:rsidRPr="00AC7EA9">
        <w:rPr>
          <w:rFonts w:ascii="Times New Roman" w:eastAsia="Times New Roman" w:hAnsi="Times New Roman" w:cs="Times New Roman"/>
          <w:i/>
          <w:sz w:val="28"/>
          <w:szCs w:val="28"/>
          <w:lang w:eastAsia="ru-RU"/>
        </w:rPr>
        <w:t>Децентралізація влади в Україні: перші кроки і перспективи подальшого конституційного забезпечення</w:t>
      </w:r>
      <w:r w:rsidRPr="00AC7EA9">
        <w:rPr>
          <w:rFonts w:ascii="Times New Roman" w:eastAsia="Times New Roman" w:hAnsi="Times New Roman" w:cs="Times New Roman"/>
          <w:sz w:val="28"/>
          <w:szCs w:val="28"/>
          <w:lang w:eastAsia="ru-RU"/>
        </w:rPr>
        <w:t xml:space="preserve"> : тези </w:t>
      </w:r>
      <w:proofErr w:type="spellStart"/>
      <w:r w:rsidRPr="00AC7EA9">
        <w:rPr>
          <w:rFonts w:ascii="Times New Roman" w:eastAsia="Times New Roman" w:hAnsi="Times New Roman" w:cs="Times New Roman"/>
          <w:sz w:val="28"/>
          <w:szCs w:val="28"/>
          <w:lang w:eastAsia="ru-RU"/>
        </w:rPr>
        <w:t>доп</w:t>
      </w:r>
      <w:proofErr w:type="spellEnd"/>
      <w:r w:rsidRPr="00AC7EA9">
        <w:rPr>
          <w:rFonts w:ascii="Times New Roman" w:eastAsia="Times New Roman" w:hAnsi="Times New Roman" w:cs="Times New Roman"/>
          <w:sz w:val="28"/>
          <w:szCs w:val="28"/>
          <w:lang w:eastAsia="ru-RU"/>
        </w:rPr>
        <w:t xml:space="preserve">. </w:t>
      </w:r>
      <w:proofErr w:type="spellStart"/>
      <w:r w:rsidRPr="00AC7EA9">
        <w:rPr>
          <w:rFonts w:ascii="Times New Roman" w:eastAsia="Times New Roman" w:hAnsi="Times New Roman" w:cs="Times New Roman"/>
          <w:sz w:val="28"/>
          <w:szCs w:val="28"/>
          <w:lang w:eastAsia="ru-RU"/>
        </w:rPr>
        <w:t>міжн</w:t>
      </w:r>
      <w:proofErr w:type="spellEnd"/>
      <w:r w:rsidRPr="00AC7EA9">
        <w:rPr>
          <w:rFonts w:ascii="Times New Roman" w:eastAsia="Times New Roman" w:hAnsi="Times New Roman" w:cs="Times New Roman"/>
          <w:sz w:val="28"/>
          <w:szCs w:val="28"/>
          <w:lang w:eastAsia="ru-RU"/>
        </w:rPr>
        <w:t>. круг. столу (м. Київ, 4 червня 2019 р.). Київ : КНУ імені Тараса Шевченка, 2019. С. 36-39</w:t>
      </w:r>
      <w:r w:rsidR="00AC7EA9">
        <w:rPr>
          <w:rFonts w:ascii="Times New Roman" w:eastAsia="Times New Roman" w:hAnsi="Times New Roman" w:cs="Times New Roman"/>
          <w:sz w:val="28"/>
          <w:szCs w:val="28"/>
          <w:lang w:eastAsia="ru-RU"/>
        </w:rPr>
        <w:t>;</w:t>
      </w:r>
    </w:p>
    <w:p w:rsidR="00E74254" w:rsidRPr="00AC7EA9" w:rsidRDefault="00E74254" w:rsidP="00AC7EA9">
      <w:pPr>
        <w:pStyle w:val="a3"/>
        <w:numPr>
          <w:ilvl w:val="0"/>
          <w:numId w:val="1"/>
        </w:numPr>
        <w:spacing w:after="0" w:line="360" w:lineRule="auto"/>
        <w:ind w:left="0" w:firstLine="0"/>
        <w:jc w:val="both"/>
        <w:rPr>
          <w:rFonts w:ascii="Times New Roman" w:eastAsia="Times New Roman" w:hAnsi="Times New Roman" w:cs="Times New Roman"/>
          <w:sz w:val="28"/>
          <w:szCs w:val="28"/>
          <w:lang w:eastAsia="ru-RU"/>
        </w:rPr>
      </w:pPr>
      <w:proofErr w:type="spellStart"/>
      <w:r w:rsidRPr="00AC7EA9">
        <w:rPr>
          <w:rFonts w:ascii="Times New Roman" w:eastAsia="Times New Roman" w:hAnsi="Times New Roman" w:cs="Times New Roman"/>
          <w:sz w:val="28"/>
          <w:szCs w:val="28"/>
          <w:lang w:eastAsia="ru-RU"/>
        </w:rPr>
        <w:t>Волошенюк</w:t>
      </w:r>
      <w:proofErr w:type="spellEnd"/>
      <w:r w:rsidRPr="00AC7EA9">
        <w:rPr>
          <w:rFonts w:ascii="Times New Roman" w:eastAsia="Times New Roman" w:hAnsi="Times New Roman" w:cs="Times New Roman"/>
          <w:sz w:val="28"/>
          <w:szCs w:val="28"/>
          <w:lang w:eastAsia="ru-RU"/>
        </w:rPr>
        <w:t xml:space="preserve"> Н. М. Роль інституцій громадянського суспільства у передвиборній агітації на виборах народних депутатів України. </w:t>
      </w:r>
      <w:r w:rsidRPr="00AC7EA9">
        <w:rPr>
          <w:rFonts w:ascii="Times New Roman" w:eastAsia="Times New Roman" w:hAnsi="Times New Roman" w:cs="Times New Roman"/>
          <w:i/>
          <w:sz w:val="28"/>
          <w:szCs w:val="28"/>
          <w:lang w:eastAsia="ru-RU"/>
        </w:rPr>
        <w:t xml:space="preserve">Правові засади взаємодії органів публічної влади з інституціями громадянського суспільства в Україні та зарубіжних державах </w:t>
      </w:r>
      <w:r w:rsidRPr="00AC7EA9">
        <w:rPr>
          <w:rFonts w:ascii="Times New Roman" w:eastAsia="Times New Roman" w:hAnsi="Times New Roman" w:cs="Times New Roman"/>
          <w:sz w:val="28"/>
          <w:szCs w:val="28"/>
          <w:lang w:eastAsia="ru-RU"/>
        </w:rPr>
        <w:t xml:space="preserve">:  тези </w:t>
      </w:r>
      <w:proofErr w:type="spellStart"/>
      <w:r w:rsidRPr="00AC7EA9">
        <w:rPr>
          <w:rFonts w:ascii="Times New Roman" w:eastAsia="Times New Roman" w:hAnsi="Times New Roman" w:cs="Times New Roman"/>
          <w:sz w:val="28"/>
          <w:szCs w:val="28"/>
          <w:lang w:eastAsia="ru-RU"/>
        </w:rPr>
        <w:t>доп</w:t>
      </w:r>
      <w:proofErr w:type="spellEnd"/>
      <w:r w:rsidRPr="00AC7EA9">
        <w:rPr>
          <w:rFonts w:ascii="Times New Roman" w:eastAsia="Times New Roman" w:hAnsi="Times New Roman" w:cs="Times New Roman"/>
          <w:sz w:val="28"/>
          <w:szCs w:val="28"/>
          <w:lang w:eastAsia="ru-RU"/>
        </w:rPr>
        <w:t xml:space="preserve">. </w:t>
      </w:r>
      <w:proofErr w:type="spellStart"/>
      <w:r w:rsidRPr="00AC7EA9">
        <w:rPr>
          <w:rFonts w:ascii="Times New Roman" w:eastAsia="Times New Roman" w:hAnsi="Times New Roman" w:cs="Times New Roman"/>
          <w:sz w:val="28"/>
          <w:szCs w:val="28"/>
          <w:lang w:eastAsia="ru-RU"/>
        </w:rPr>
        <w:t>міжн</w:t>
      </w:r>
      <w:proofErr w:type="spellEnd"/>
      <w:r w:rsidRPr="00AC7EA9">
        <w:rPr>
          <w:rFonts w:ascii="Times New Roman" w:eastAsia="Times New Roman" w:hAnsi="Times New Roman" w:cs="Times New Roman"/>
          <w:sz w:val="28"/>
          <w:szCs w:val="28"/>
          <w:lang w:eastAsia="ru-RU"/>
        </w:rPr>
        <w:t>. наук.-</w:t>
      </w:r>
      <w:proofErr w:type="spellStart"/>
      <w:r w:rsidRPr="00AC7EA9">
        <w:rPr>
          <w:rFonts w:ascii="Times New Roman" w:eastAsia="Times New Roman" w:hAnsi="Times New Roman" w:cs="Times New Roman"/>
          <w:sz w:val="28"/>
          <w:szCs w:val="28"/>
          <w:lang w:eastAsia="ru-RU"/>
        </w:rPr>
        <w:t>практ</w:t>
      </w:r>
      <w:proofErr w:type="spellEnd"/>
      <w:r w:rsidRPr="00AC7EA9">
        <w:rPr>
          <w:rFonts w:ascii="Times New Roman" w:eastAsia="Times New Roman" w:hAnsi="Times New Roman" w:cs="Times New Roman"/>
          <w:sz w:val="28"/>
          <w:szCs w:val="28"/>
          <w:lang w:eastAsia="ru-RU"/>
        </w:rPr>
        <w:t xml:space="preserve">. </w:t>
      </w:r>
      <w:proofErr w:type="spellStart"/>
      <w:r w:rsidRPr="00AC7EA9">
        <w:rPr>
          <w:rFonts w:ascii="Times New Roman" w:eastAsia="Times New Roman" w:hAnsi="Times New Roman" w:cs="Times New Roman"/>
          <w:sz w:val="28"/>
          <w:szCs w:val="28"/>
          <w:lang w:eastAsia="ru-RU"/>
        </w:rPr>
        <w:t>конф</w:t>
      </w:r>
      <w:proofErr w:type="spellEnd"/>
      <w:r w:rsidRPr="00AC7EA9">
        <w:rPr>
          <w:rFonts w:ascii="Times New Roman" w:eastAsia="Times New Roman" w:hAnsi="Times New Roman" w:cs="Times New Roman"/>
          <w:sz w:val="28"/>
          <w:szCs w:val="28"/>
          <w:lang w:eastAsia="ru-RU"/>
        </w:rPr>
        <w:t>. (м. Київ, 29 листопада 2019 р.). Київ : КНУ імені Тараса Шевченка, 2019. С. 82-86</w:t>
      </w:r>
      <w:r w:rsidR="00AC7EA9">
        <w:rPr>
          <w:rFonts w:ascii="Times New Roman" w:eastAsia="Times New Roman" w:hAnsi="Times New Roman" w:cs="Times New Roman"/>
          <w:sz w:val="28"/>
          <w:szCs w:val="28"/>
          <w:lang w:eastAsia="ru-RU"/>
        </w:rPr>
        <w:t>;</w:t>
      </w:r>
    </w:p>
    <w:p w:rsidR="00983B51" w:rsidRDefault="00983B51"/>
    <w:p w:rsidR="00AC7EA9" w:rsidRDefault="00AC7EA9"/>
    <w:p w:rsidR="00AC7EA9" w:rsidRDefault="00AC7EA9"/>
    <w:p w:rsidR="00AC7EA9" w:rsidRDefault="00AC7EA9"/>
    <w:p w:rsidR="00AC7EA9" w:rsidRDefault="00AC7EA9"/>
    <w:p w:rsidR="00AC7EA9" w:rsidRDefault="00AC7EA9"/>
    <w:p w:rsidR="00AC7EA9" w:rsidRDefault="00AC7EA9"/>
    <w:p w:rsidR="00AC7EA9" w:rsidRDefault="00AC7EA9"/>
    <w:p w:rsidR="00AC7EA9" w:rsidRDefault="00AC7EA9"/>
    <w:p w:rsidR="00AC7EA9" w:rsidRDefault="00AC7EA9" w:rsidP="00AC7EA9">
      <w:pPr>
        <w:spacing w:after="0" w:line="360" w:lineRule="auto"/>
        <w:jc w:val="center"/>
        <w:rPr>
          <w:rFonts w:ascii="Times New Roman" w:hAnsi="Times New Roman" w:cs="Times New Roman"/>
          <w:b/>
          <w:sz w:val="28"/>
          <w:szCs w:val="28"/>
          <w:lang w:val="en-US"/>
        </w:rPr>
      </w:pPr>
      <w:r w:rsidRPr="00AD3D61">
        <w:rPr>
          <w:rFonts w:ascii="Times New Roman" w:hAnsi="Times New Roman" w:cs="Times New Roman"/>
          <w:b/>
          <w:sz w:val="28"/>
          <w:szCs w:val="28"/>
          <w:lang w:val="en-US"/>
        </w:rPr>
        <w:lastRenderedPageBreak/>
        <w:t>SUMMARY</w:t>
      </w:r>
    </w:p>
    <w:p w:rsidR="00AC7EA9" w:rsidRDefault="00AC7EA9" w:rsidP="00AC7EA9">
      <w:pPr>
        <w:spacing w:after="0" w:line="360" w:lineRule="auto"/>
        <w:jc w:val="center"/>
        <w:rPr>
          <w:rFonts w:ascii="Times New Roman" w:hAnsi="Times New Roman" w:cs="Times New Roman"/>
          <w:b/>
          <w:sz w:val="28"/>
          <w:szCs w:val="28"/>
          <w:lang w:val="en-US"/>
        </w:rPr>
      </w:pPr>
    </w:p>
    <w:p w:rsidR="00AC7EA9" w:rsidRDefault="00AC7EA9" w:rsidP="00AC7EA9">
      <w:pPr>
        <w:spacing w:line="360" w:lineRule="auto"/>
        <w:ind w:firstLine="708"/>
        <w:jc w:val="both"/>
        <w:rPr>
          <w:rFonts w:asciiTheme="majorBidi" w:hAnsiTheme="majorBidi" w:cstheme="majorBidi"/>
          <w:sz w:val="28"/>
          <w:szCs w:val="28"/>
          <w:lang w:val="en-US"/>
        </w:rPr>
      </w:pPr>
      <w:proofErr w:type="spellStart"/>
      <w:r w:rsidRPr="00AC7EA9">
        <w:rPr>
          <w:rFonts w:asciiTheme="majorBidi" w:hAnsiTheme="majorBidi" w:cstheme="majorBidi"/>
          <w:i/>
          <w:iCs/>
          <w:sz w:val="28"/>
          <w:szCs w:val="28"/>
          <w:lang w:val="en-US"/>
        </w:rPr>
        <w:t>Volosheniuk</w:t>
      </w:r>
      <w:proofErr w:type="spellEnd"/>
      <w:r w:rsidRPr="00AC7EA9">
        <w:rPr>
          <w:rFonts w:asciiTheme="majorBidi" w:hAnsiTheme="majorBidi" w:cstheme="majorBidi"/>
          <w:i/>
          <w:iCs/>
          <w:sz w:val="28"/>
          <w:szCs w:val="28"/>
          <w:lang w:val="en-US"/>
        </w:rPr>
        <w:t xml:space="preserve"> N.</w:t>
      </w:r>
      <w:r>
        <w:rPr>
          <w:rFonts w:asciiTheme="majorBidi" w:hAnsiTheme="majorBidi" w:cstheme="majorBidi"/>
          <w:i/>
          <w:iCs/>
          <w:sz w:val="28"/>
          <w:szCs w:val="28"/>
          <w:lang w:val="en-US"/>
        </w:rPr>
        <w:t xml:space="preserve"> </w:t>
      </w:r>
      <w:r w:rsidRPr="00AC7EA9">
        <w:rPr>
          <w:rFonts w:asciiTheme="majorBidi" w:hAnsiTheme="majorBidi" w:cstheme="majorBidi"/>
          <w:sz w:val="28"/>
          <w:szCs w:val="28"/>
          <w:lang w:val="en-US"/>
        </w:rPr>
        <w:t>Constitutional and legal regulation of election campaigning during parliamentary elections: foreign experience and Ukrainian practice.</w:t>
      </w:r>
      <w:r>
        <w:rPr>
          <w:rFonts w:asciiTheme="majorBidi" w:hAnsiTheme="majorBidi" w:cstheme="majorBidi"/>
          <w:sz w:val="28"/>
          <w:szCs w:val="28"/>
          <w:lang w:val="en-US"/>
        </w:rPr>
        <w:t xml:space="preserve"> – </w:t>
      </w:r>
      <w:r w:rsidRPr="00AC7EA9">
        <w:rPr>
          <w:rFonts w:asciiTheme="majorBidi" w:hAnsiTheme="majorBidi" w:cstheme="majorBidi"/>
          <w:sz w:val="28"/>
          <w:szCs w:val="28"/>
          <w:lang w:val="en-US"/>
        </w:rPr>
        <w:t>Qualifying scientific work on the rights of the manuscript.</w:t>
      </w:r>
    </w:p>
    <w:p w:rsidR="00AC7EA9" w:rsidRDefault="00AC7EA9" w:rsidP="00AC7EA9">
      <w:pPr>
        <w:spacing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The dissertation on competition of the degree of the doctor of philosophy in the field of knowledge 08 Law on a specialty 081 Law. - St</w:t>
      </w:r>
      <w:bookmarkStart w:id="0" w:name="_GoBack"/>
      <w:bookmarkEnd w:id="0"/>
      <w:r w:rsidRPr="00AC7EA9">
        <w:rPr>
          <w:rFonts w:asciiTheme="majorBidi" w:hAnsiTheme="majorBidi" w:cstheme="majorBidi"/>
          <w:sz w:val="28"/>
          <w:szCs w:val="28"/>
          <w:lang w:val="en-US"/>
        </w:rPr>
        <w:t>ate Higher Educational Institution "</w:t>
      </w:r>
      <w:proofErr w:type="spellStart"/>
      <w:r w:rsidRPr="00AC7EA9">
        <w:rPr>
          <w:rFonts w:asciiTheme="majorBidi" w:hAnsiTheme="majorBidi" w:cstheme="majorBidi"/>
          <w:sz w:val="28"/>
          <w:szCs w:val="28"/>
          <w:lang w:val="en-US"/>
        </w:rPr>
        <w:t>Uzhhorod</w:t>
      </w:r>
      <w:proofErr w:type="spellEnd"/>
      <w:r w:rsidRPr="00AC7EA9">
        <w:rPr>
          <w:rFonts w:asciiTheme="majorBidi" w:hAnsiTheme="majorBidi" w:cstheme="majorBidi"/>
          <w:sz w:val="28"/>
          <w:szCs w:val="28"/>
          <w:lang w:val="en-US"/>
        </w:rPr>
        <w:t xml:space="preserve"> National University". - </w:t>
      </w:r>
      <w:proofErr w:type="spellStart"/>
      <w:r w:rsidRPr="00AC7EA9">
        <w:rPr>
          <w:rFonts w:asciiTheme="majorBidi" w:hAnsiTheme="majorBidi" w:cstheme="majorBidi"/>
          <w:sz w:val="28"/>
          <w:szCs w:val="28"/>
          <w:lang w:val="en-US"/>
        </w:rPr>
        <w:t>Uzhhorod</w:t>
      </w:r>
      <w:proofErr w:type="spellEnd"/>
      <w:r w:rsidRPr="00AC7EA9">
        <w:rPr>
          <w:rFonts w:asciiTheme="majorBidi" w:hAnsiTheme="majorBidi" w:cstheme="majorBidi"/>
          <w:sz w:val="28"/>
          <w:szCs w:val="28"/>
          <w:lang w:val="en-US"/>
        </w:rPr>
        <w:t>, 2021.</w:t>
      </w:r>
    </w:p>
    <w:p w:rsidR="00AC7EA9" w:rsidRPr="00AC7EA9" w:rsidRDefault="00AC7EA9" w:rsidP="00AC7EA9">
      <w:pPr>
        <w:spacing w:after="0"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In the dissertation work the theoretical and applied research of legal nature of pre-election agitation during elections of deputies of parliament in Ukraine and foreign states is carried out. The paper identifies that campaigning is an important element of the election campaign, and it is characterized by the following features: 1) has a constitutional and legal nature, 2) is mainly purposeful activities, which includes the formation of the will of voters and encourage them to participate in elections and to vote for one or another political force or individual candidates; 3) has a political character; 4) is carried out by certain entities, clearly defined by law; 5) is a stage of the election process and covers a certain time frame; 6) may be carried out in any form and by any means that do not contradict the Constitution of Ukraine and the laws of Ukraine.</w:t>
      </w:r>
    </w:p>
    <w:p w:rsidR="00AC7EA9" w:rsidRPr="00AC7EA9" w:rsidRDefault="00AC7EA9" w:rsidP="00AC7EA9">
      <w:pPr>
        <w:spacing w:after="0"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It is concluded that election campaigning is a multifaceted, complex constitutional and legal phenomenon, which is more fully revealed if it is considered in various practical and pre-ideological discourses and evaluate this phenomenon in terms of form, content and essence.</w:t>
      </w:r>
    </w:p>
    <w:p w:rsidR="00AC7EA9" w:rsidRPr="00AC7EA9" w:rsidRDefault="00AC7EA9" w:rsidP="00AC7EA9">
      <w:pPr>
        <w:spacing w:after="0"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 xml:space="preserve">The relationship between election campaigning and political and social advertising and the institution of election information support has been studied. It is defined that political advertising should be considered as information about a political party or individual politicians at the national or local level, disseminated in any form and in any way, which aims to directly or indirectly draw attention to the subjects of the political process, to form or to maintain citizens' awareness of </w:t>
      </w:r>
      <w:r w:rsidRPr="00AC7EA9">
        <w:rPr>
          <w:rFonts w:asciiTheme="majorBidi" w:hAnsiTheme="majorBidi" w:cstheme="majorBidi"/>
          <w:sz w:val="28"/>
          <w:szCs w:val="28"/>
          <w:lang w:val="en-US"/>
        </w:rPr>
        <w:lastRenderedPageBreak/>
        <w:t>them and to direct the political behavior of citizens to support such subjects of the political process in public life, in particular, during elections (referendums), and social advertising as information of any kind disseminated in any form that aimed at achieving socially useful goals, the promotion of universal values ​​and the dissemination of which is not intended to make a profit or draw attention to the political process in Ukraine and direct the political behavior of citizens to support certain political actors in public life during elections ( referendums). The main criteria that distinguish campaigning from voter information are the purpose, nature, content, actors, actors, timelines for campaigning and election support.</w:t>
      </w:r>
    </w:p>
    <w:p w:rsidR="00AC7EA9" w:rsidRPr="00AC7EA9" w:rsidRDefault="00AC7EA9" w:rsidP="00AC7EA9">
      <w:pPr>
        <w:spacing w:after="0"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The paper describes the various forms and means of campaigning in the parliamentary elections provided by the Electoral Code of Ukraine, reveals the role of the media in this process, analyzes the limitations of campaigning, conducted a comparative study of foreign experience in campaigning in parliamentary elections.</w:t>
      </w:r>
    </w:p>
    <w:p w:rsidR="00AC7EA9" w:rsidRPr="00AC7EA9" w:rsidRDefault="00AC7EA9" w:rsidP="00AC7EA9">
      <w:pPr>
        <w:spacing w:after="0" w:line="360" w:lineRule="auto"/>
        <w:ind w:firstLine="708"/>
        <w:jc w:val="both"/>
        <w:rPr>
          <w:rFonts w:asciiTheme="majorBidi" w:hAnsiTheme="majorBidi" w:cstheme="majorBidi"/>
          <w:sz w:val="28"/>
          <w:szCs w:val="28"/>
          <w:lang w:val="en-US"/>
        </w:rPr>
      </w:pPr>
      <w:r w:rsidRPr="00AC7EA9">
        <w:rPr>
          <w:rFonts w:asciiTheme="majorBidi" w:hAnsiTheme="majorBidi" w:cstheme="majorBidi"/>
          <w:sz w:val="28"/>
          <w:szCs w:val="28"/>
          <w:lang w:val="en-US"/>
        </w:rPr>
        <w:t xml:space="preserve"> The conclusion is that in the XXI century. some forms of campaigning are losing their relevance. Instead, scientific and technological progress has resulted in the expansion of forms of campaigning, the introduction of new technologies for their implementation. This is especially evident in the example of a number of foreign countries, where election technologies are already considered an integral part of election marketing. Also, with the development of new technologies, new ways of conveying information to the population are emerging, which are gradually displacing traditional ones. In this regard, the Internet should be singled out, the possibilities of which are increasingly used in campaigning. Based on this, the national legislation on the regulation of campaigning during the election of deputies of Ukraine needs to be improved, it is also necessary to amend the Electoral Code of Ukraine to determine the status of campaigners, the timing of campaigning, forms and means of its conduct, restrictions on campaigning agitation, introduction of a media election ombudsman in Ukraine.</w:t>
      </w:r>
    </w:p>
    <w:p w:rsidR="00AC7EA9" w:rsidRPr="00AC7EA9" w:rsidRDefault="00AC7EA9" w:rsidP="00AC7EA9">
      <w:pPr>
        <w:spacing w:line="360" w:lineRule="auto"/>
        <w:ind w:firstLine="708"/>
        <w:jc w:val="both"/>
        <w:rPr>
          <w:rFonts w:asciiTheme="majorBidi" w:hAnsiTheme="majorBidi" w:cstheme="majorBidi"/>
          <w:sz w:val="28"/>
          <w:szCs w:val="28"/>
          <w:lang w:val="en-US"/>
        </w:rPr>
      </w:pPr>
      <w:r w:rsidRPr="00AC7EA9">
        <w:rPr>
          <w:rFonts w:asciiTheme="majorBidi" w:hAnsiTheme="majorBidi" w:cstheme="majorBidi"/>
          <w:b/>
          <w:bCs/>
          <w:sz w:val="28"/>
          <w:szCs w:val="28"/>
          <w:lang w:val="en-US"/>
        </w:rPr>
        <w:lastRenderedPageBreak/>
        <w:t>Key words:</w:t>
      </w:r>
      <w:r w:rsidRPr="00AC7EA9">
        <w:rPr>
          <w:rFonts w:asciiTheme="majorBidi" w:hAnsiTheme="majorBidi" w:cstheme="majorBidi"/>
          <w:sz w:val="28"/>
          <w:szCs w:val="28"/>
          <w:lang w:val="en-US"/>
        </w:rPr>
        <w:t xml:space="preserve"> elections of people's deputies of Ukraine, pre-election agitation, political advertising, social advertising, information support of elections, forms and means of pre-election agitation, restrictions of pre-election agitation.</w:t>
      </w:r>
    </w:p>
    <w:sectPr w:rsidR="00AC7EA9" w:rsidRPr="00AC7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3F0A"/>
    <w:multiLevelType w:val="hybridMultilevel"/>
    <w:tmpl w:val="3D7AC7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45"/>
    <w:rsid w:val="00983B51"/>
    <w:rsid w:val="00AC7EA9"/>
    <w:rsid w:val="00E63045"/>
    <w:rsid w:val="00E7425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2955"/>
  <w15:docId w15:val="{09A8221F-6AD9-439E-A75B-4B589E34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8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7215</Words>
  <Characters>4114</Characters>
  <Application>Microsoft Office Word</Application>
  <DocSecurity>0</DocSecurity>
  <Lines>34</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dc:creator>
  <cp:keywords/>
  <dc:description/>
  <cp:lastModifiedBy>UzhNU</cp:lastModifiedBy>
  <cp:revision>2</cp:revision>
  <dcterms:created xsi:type="dcterms:W3CDTF">2021-11-16T13:48:00Z</dcterms:created>
  <dcterms:modified xsi:type="dcterms:W3CDTF">2021-11-16T13:48:00Z</dcterms:modified>
</cp:coreProperties>
</file>