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«Видалення дефектної реставрації та її заміна у премоляра з ознаками вторинного карієсу»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«Видалення дефектної реставрації та її заміна у премоляра з ознаками вторинного карієсу»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видаленні дефектної реставрації та її заміна у премоляра з ознаками вторинного карієсу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 кофердаму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флоси, латексна хустина, трафарет для позначення зубного ряду, рамка для фіксації кофердаму, водопоглинаюча серветка, бори, моделювальна гладилка зі штопфером.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Препарування дефектної реставрації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борів студент препарує дефектну реставрацію 34 зуба та усуває каріозний процес, використовуючи карієс-маркер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Перевірка вітальності пульпи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перевірено за допомогою ЕОД вітальність пульпи.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Антисептична обробка порожнини премоляра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обробляє препаровану порожнину антисептичним розчином (хлоргексидин 0,05%)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Кислотне протравлювання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травильного гелю обробляє порожнину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адгезивного протоколу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наносить праймер та адгезив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Відновлення анатомії зуба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здійснює пошарове накладання композиту (техніка інкрементів) та моделює жувальну поверхню моляра.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Фінальна обробка реставрації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борів студент препарує надлишок реставраційного матеріалу, перевіряючи оклюзійні контакти.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Шліфування реставрації моляра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полірувальних дисків та резинок студент здійснює фінішну обробку реставрації.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Інформування пацієнта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надав поради щодо догляду за реставрацією.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rx2kdfmesuh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A173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A173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A173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A173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8A173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A173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8A173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8A173B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8A173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8A173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8A173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8A173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8A173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8A173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8A173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8A173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8A173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8A173B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8A173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8A173B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8A173B"/>
    <w:rPr>
      <w:b w:val="1"/>
      <w:bCs w:val="1"/>
      <w:smallCaps w:val="1"/>
      <w:color w:val="2f5496" w:themeColor="accent1" w:themeShade="0000BF"/>
      <w:spacing w:val="5"/>
    </w:rPr>
  </w:style>
  <w:style w:type="character" w:styleId="Bold" w:customStyle="1">
    <w:name w:val="Bold"/>
    <w:uiPriority w:val="99"/>
    <w:rsid w:val="008A173B"/>
    <w:rPr>
      <w:b w:val="1"/>
      <w:u w:val="none"/>
      <w:vertAlign w:val="baseline"/>
    </w:rPr>
  </w:style>
  <w:style w:type="paragraph" w:styleId="ac" w:customStyle="1">
    <w:name w:val="[Без стиля]"/>
    <w:rsid w:val="008A173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8A173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8A173B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PuGtoCphhxXVFdBEd6hs6OPUQ==">CgMxLjAyDmgucXBrZHM2ZGs5cXgzMg5oLnJ4MmtkZm1lc3VoajgAciExY2tRNThzZVJySE80VWE3bHhoLUc2R2FUMzFBcG5HUDM=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2025-04-13T15:58:00Z</dcterms:created>
  <dc:creator>Яночка Богдан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b19fcabd9e957a56e62377fdf8694cf09f8cb24eb8b18a486e604dd654fdf083</vt:lpwstr>
  </property>
</Properties>
</file>