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ili90xbbfc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стоматологічного факультету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«Усунення гіперчутливості 11 та 21 зубів»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«Усунення гіперчутливості 11 та 21 зубів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дій при усуненні гіперчутливості 11 та 21 зубів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інструменти та матеріали для ліквідації підвищеної чутливості 11 і 21 зубів з нанесенням десенсибілізатора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кутовий мікромоторний наконечник, щіточка, резиночка, полірувальна паста, ватні валики, аплікатор, десенсибілізатор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матеріалу для десенсибілізації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купірування гіперчутливості зубів студент обрав матеріал на основі фториду натрію (Admira Protect)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Накладення оптрагейту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правильно наклав оптрагейт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зняття зубних відкладень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етапи зняття зубних відкладень за допомогою щіточки та полірувальної пасти та полірування поверхонь зубів резиночкою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зубів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провів ізоляцію 11 та 21 зубів за допомогою ватних валиків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десенсибілізатора на поверхню зубів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висушування поверхні зубів, за допомогою аплікатора наносить на поверхню 11 та 21 зубів десенсибілізатор Admira Protect.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Висушування десенсибілізатору 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пустеру із повітрям студент проводить висушування лаку десенсибілізатору на поверхні зубів та залишає на 20 секунд.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фотополімеризації десенсибілізатору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фотополімерної лампи студент проводить полімеризацію десенсибілізатору на поверхні зубів 11 та 21 протягом 10 секунд.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Усунення інгібованого шару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Інгібований киснем шар (м’яка поверхня) студент усуває ватним тампоном або валиком. Обстежив ясенну борозну на наявність надміру матеріалу і при потребі усунув його.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t9vp1le4513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0"/>
      <w:numFmt w:val="bullet"/>
      <w:lvlText w:val=""/>
      <w:lvlJc w:val="left"/>
      <w:pPr>
        <w:ind w:left="234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073913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ru-RU"/>
    </w:rPr>
  </w:style>
  <w:style w:type="paragraph" w:styleId="a3">
    <w:name w:val="List Paragraph"/>
    <w:basedOn w:val="a"/>
    <w:uiPriority w:val="1"/>
    <w:qFormat w:val="1"/>
    <w:rsid w:val="00073913"/>
    <w:pPr>
      <w:ind w:left="720"/>
      <w:contextualSpacing w:val="1"/>
    </w:pPr>
  </w:style>
  <w:style w:type="character" w:styleId="Bold" w:customStyle="1">
    <w:name w:val="Bold"/>
    <w:uiPriority w:val="99"/>
    <w:rsid w:val="00073913"/>
    <w:rPr>
      <w:b w:val="1"/>
      <w:u w:val="none"/>
      <w:vertAlign w:val="baseline"/>
    </w:rPr>
  </w:style>
  <w:style w:type="paragraph" w:styleId="a4" w:customStyle="1">
    <w:name w:val="[Без стиля]"/>
    <w:rsid w:val="0007391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sz w:val="24"/>
      <w:szCs w:val="24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073913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073913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Default" w:customStyle="1">
    <w:name w:val="Default"/>
    <w:rsid w:val="00FF0CE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vryllQ5Re0wWXPPV5AZyE6T5Q==">CgMxLjAyDmguNGlsaTkweGJiZmNrMg5oLnQ5dnAxbGU0NTEzcTgAciExU01YNG01SDRjeXo2WkVyWVhZeE1XeHpGOXBlelZsNFo=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2025-04-15T08:43:00Z</dcterms:created>
  <dc:creator>Elvira Danko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7b23ca82765b91a1b9159153d5eaa5b0b4865ec16af22a38d83755d54e0f4629</vt:lpwstr>
  </property>
</Properties>
</file>