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hgwwvep0jnsj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«ЗАТВЕРДЖЕНО»</w:t>
        <w:tab/>
        <w:t xml:space="preserve">«ЗАТВЕРДЖЕНО»</w:t>
      </w:r>
    </w:p>
    <w:p w:rsidR="00000000" w:rsidDel="00000000" w:rsidP="00000000" w:rsidRDefault="00000000" w:rsidRPr="00000000" w14:paraId="00000002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засіданні кафедри                                                         на засіданні Вченої  ради</w:t>
      </w:r>
    </w:p>
    <w:p w:rsidR="00000000" w:rsidDel="00000000" w:rsidP="00000000" w:rsidRDefault="00000000" w:rsidRPr="00000000" w14:paraId="00000003">
      <w:pPr>
        <w:tabs>
          <w:tab w:val="left" w:leader="none" w:pos="558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терапевтичної стоматології</w:t>
        <w:tab/>
        <w:t xml:space="preserve">ННІСЛМ</w:t>
      </w:r>
    </w:p>
    <w:p w:rsidR="00000000" w:rsidDel="00000000" w:rsidP="00000000" w:rsidRDefault="00000000" w:rsidRPr="00000000" w14:paraId="00000004">
      <w:pPr>
        <w:tabs>
          <w:tab w:val="left" w:leader="none" w:pos="540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Протокол № 10 від 20 березня 2026 р.</w:t>
        <w:tab/>
        <w:t xml:space="preserve">   Протокол № 4 від 30 березня 2026 р.                                                                                                                                                             Завідувач кафедри</w:t>
        <w:tab/>
        <w:t xml:space="preserve">   Голова Вченої ради ННІСЛМ</w:t>
      </w:r>
    </w:p>
    <w:p w:rsidR="00000000" w:rsidDel="00000000" w:rsidP="00000000" w:rsidRDefault="00000000" w:rsidRPr="00000000" w14:paraId="00000005">
      <w:pPr>
        <w:tabs>
          <w:tab w:val="left" w:leader="none" w:pos="5580"/>
        </w:tabs>
        <w:spacing w:after="0" w:lineRule="auto"/>
        <w:ind w:hanging="18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к.мед.н., доц. Слинько Ю.О.                                             д.мед.н., проф. Костенко Є.Я. </w:t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</w:t>
        <w:tab/>
        <w:t xml:space="preserve">                                               _____________________</w:t>
      </w:r>
    </w:p>
    <w:p w:rsidR="00000000" w:rsidDel="00000000" w:rsidP="00000000" w:rsidRDefault="00000000" w:rsidRPr="00000000" w14:paraId="00000007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ДВНЗ «УЖГОРОДСЬКИЙ НАЦІОНАЛЬНИЙ УНІВЕРСИТЕТ»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НАВЧАЛЬНО-НАУКОВИЙ ІНСТИТУТ СТОМАТОЛОГІЇ ТА ЛАБОРАТОРНОЇ МЕДИЦИНИ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ГАЛУЗІ ЗНАНЬ 22 – ОХОРОНА ЗДОРОВ’Я </w:t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(І -ОХОРОНА ЗДОРОВ’Я ТА СОЦІАЛЬНЕ ЗАБЕЗПЕЧЕННЯ) 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СПЕЦІАЛЬНОСТІ 221 – СТОМАТОЛОГІЯ (І1)</w:t>
      </w:r>
    </w:p>
    <w:p w:rsidR="00000000" w:rsidDel="00000000" w:rsidP="00000000" w:rsidRDefault="00000000" w:rsidRPr="00000000" w14:paraId="00000010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0" w:line="240" w:lineRule="auto"/>
        <w:ind w:left="12" w:hanging="1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НАЗВА СТАНЦІЇ – «ТЕРАПЕВТИЧНА СТОМАТОЛОГІЯ 1»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АЛГОРИТМ РОБОТИ ПРИ ВИКОНАННІ КЛІНІЧНОГО СЦЕНАРІЮ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«Проведення етапів лікування локалізованого пародонтиту ІІ ступеню в проекції 16 та 17 зубів»</w:t>
      </w:r>
    </w:p>
    <w:p w:rsidR="00000000" w:rsidDel="00000000" w:rsidP="00000000" w:rsidRDefault="00000000" w:rsidRPr="00000000" w14:paraId="00000015">
      <w:pPr>
        <w:spacing w:after="0" w:line="240" w:lineRule="auto"/>
        <w:ind w:left="1985" w:hanging="1985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:rsidR="00000000" w:rsidDel="00000000" w:rsidP="00000000" w:rsidRDefault="00000000" w:rsidRPr="00000000" w14:paraId="00000017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Зміст клінічного сценарію, котрий стосується виконання практичної навички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«Проведення етапів лікування локалізованого пародонтиту ІІ ступеню в проекції 16 та 17 зубів»,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:rsidR="00000000" w:rsidDel="00000000" w:rsidP="00000000" w:rsidRDefault="00000000" w:rsidRPr="00000000" w14:paraId="00000018">
      <w:pPr>
        <w:spacing w:after="0" w:line="240" w:lineRule="auto"/>
        <w:ind w:firstLine="708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Алгоритм роботи на станції при проведення етапів лікування локалізованого пародонтиту</w:t>
      </w:r>
    </w:p>
    <w:p w:rsidR="00000000" w:rsidDel="00000000" w:rsidP="00000000" w:rsidRDefault="00000000" w:rsidRPr="00000000" w14:paraId="0000001A">
      <w:pPr>
        <w:tabs>
          <w:tab w:val="left" w:leader="none" w:pos="336"/>
          <w:tab w:val="center" w:leader="none" w:pos="4815"/>
        </w:tabs>
        <w:spacing w:after="0" w:lin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4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7"/>
        <w:gridCol w:w="4730"/>
        <w:gridCol w:w="3827"/>
        <w:tblGridChange w:id="0">
          <w:tblGrid>
            <w:gridCol w:w="907"/>
            <w:gridCol w:w="4730"/>
            <w:gridCol w:w="3827"/>
          </w:tblGrid>
        </w:tblGridChange>
      </w:tblGrid>
      <w:tr>
        <w:trPr>
          <w:cantSplit w:val="0"/>
          <w:trHeight w:val="107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Послідовність дій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pStyle w:val="Heading2"/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000000"/>
                <w:sz w:val="28"/>
                <w:szCs w:val="28"/>
                <w:rtl w:val="0"/>
              </w:rPr>
              <w:t xml:space="preserve">Критерії контролю правильного виконання</w:t>
            </w:r>
          </w:p>
        </w:tc>
      </w:tr>
      <w:tr>
        <w:trPr>
          <w:cantSplit w:val="0"/>
          <w:trHeight w:val="323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Привітатися, назвати (ідентифікувати) себе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привітався та ідентифікував себе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Отримати завдання, уважно прочитати його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обрав завдання та уважно його прочитав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Помити і висушити руки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помито і висушено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медичну маску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Медичну маску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5.</w:t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Одягти медичні рукавички</w:t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Медичні рукавички одягнуто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6.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Обробити руки антисептиком</w:t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Руки оброблено антисептиком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7.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Розпочати комунікацію з пацієнтом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ініціював процес комунікації, дотримуючись коректної форми діалогу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8.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9.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клінічний огляд, визначити необхідність проведення додаткових обстежень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Визначити тактику ведення та лікування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</w:t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Провести технічні навички у відповідності із завданням, наведеним у клінічному сценарії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коректно проводить технічні навички у відповідності до цільового практичного завдання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Підготувати інструментарій та матеріали для проведення етапів лікування локалізованого пародонтиту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Студентом обрано із доступного набору матеріально-технічного забезпечення та підготовлено до подальшої роботи наступний набір інструментів: дзеркало, зонд, пародонтологічний градуйований зонд, турбінний наконечник та кутовий мікромоторний наконечник, алмазні бори, щіточка, резиночка, міжзубна штрипса, ультразвуковий скейлер, ультразвукові насадки, набір кюреток Грейсі, антисептичні розчини, пародонтальна пов’язка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11.2.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зондування та визначення глибини пародонтальної кишені</w:t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градуйованого пародонтологічного зонду студент проводить зондування пародонтальної кишені перпендикулярно до ясенного краю з 6-ти сторін зуба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11.3.</w:t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зняття зубних відкладень</w:t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проведення зняття зубних відкладень студент обирає ультразвуковий скейлер та ультразвукову насадку, мікромоторний наконечник, щіточку та резиночку. Проводить етапи зняття зубних відкладень.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11.4.</w:t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Зняття нависаючих країв реставрації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допомогою конусоподібного алмазного бору та турбінного наконечнику студент проводить зняття нависаючих країв реставрації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11.5.</w:t>
            </w:r>
          </w:p>
        </w:tc>
        <w:tc>
          <w:tcPr/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Полірування поверхонь зубів </w:t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полірування поверхні зубів студент обирає резиночку та щіточку, а також міжзубну штрипсу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11.6.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Вибір пародонтологічної кюретки 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Для проведення кюретажу пародонтальної кишені в ділянці 16 та 17 зубів студенту необхідно обрати кюрети Грейсі SG 11/1273 з оранжевим маркуванням для медіальних поверхонь та SG13/1478 з синім маркуванням для дистальних поверхонь.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11.7.</w:t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кюретажу пародонтальної кишені</w:t>
            </w:r>
          </w:p>
        </w:tc>
        <w:tc>
          <w:tcPr/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Обрані кюрети розташовують паралельно до ясенного краю в пародонтальній кишені робочою стороною кюрети до поверхні кореня зуба та виконують діагональні та кругові рухи знімаючи при цьому зубні відкладення та грануляційну тканину з поверхні коренів зубів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11.8.</w:t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Проведення антисептичної обробки пародонтальної кишені</w:t>
            </w:r>
          </w:p>
        </w:tc>
        <w:tc>
          <w:tcPr/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Використовуючи 0,05% розчин хлоргексидину біглюконату студент проводить антисептичну обробку пародонтальної кишені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11.9.</w:t>
            </w:r>
          </w:p>
        </w:tc>
        <w:tc>
          <w:tcPr/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Накладання пародонтальної пов’язки  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 обирає матеріал для накладання пародонтальної пов’язки (пародонтальна пов’язка COE-PAK), замішує її на предметному склі та накладає на ділянку ясен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11.10</w:t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>
        <w:trPr>
          <w:cantSplit w:val="0"/>
          <w:trHeight w:val="180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</w:t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Утилізація засобів індивідуального захисту (ЗІЗ)</w:t>
            </w:r>
          </w:p>
        </w:tc>
        <w:tc>
          <w:tcPr/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Зняти маску та рукавички </w:t>
            </w:r>
          </w:p>
        </w:tc>
      </w:tr>
    </w:tbl>
    <w:p w:rsidR="00000000" w:rsidDel="00000000" w:rsidP="00000000" w:rsidRDefault="00000000" w:rsidRPr="00000000" w14:paraId="00000062">
      <w:pPr>
        <w:spacing w:after="0" w:line="240" w:lineRule="auto"/>
        <w:ind w:left="1985" w:hanging="1985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leader="none" w:pos="2712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ТРИВАЛІСТЬ РОБОТИ НА СТАНЦІЇ</w:t>
      </w:r>
    </w:p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</w:t>
      </w:r>
    </w:p>
    <w:tbl>
      <w:tblPr>
        <w:tblStyle w:val="Table2"/>
        <w:tblW w:w="9345.0" w:type="dxa"/>
        <w:jc w:val="left"/>
        <w:tblInd w:w="-6.999999999999993" w:type="dxa"/>
        <w:tblLayout w:type="fixed"/>
        <w:tblLook w:val="0000"/>
      </w:tblPr>
      <w:tblGrid>
        <w:gridCol w:w="3586"/>
        <w:gridCol w:w="1344"/>
        <w:gridCol w:w="1958"/>
        <w:gridCol w:w="1367"/>
        <w:gridCol w:w="1090"/>
        <w:tblGridChange w:id="0">
          <w:tblGrid>
            <w:gridCol w:w="3586"/>
            <w:gridCol w:w="1344"/>
            <w:gridCol w:w="1958"/>
            <w:gridCol w:w="1367"/>
            <w:gridCol w:w="1090"/>
          </w:tblGrid>
        </w:tblGridChange>
      </w:tblGrid>
      <w:tr>
        <w:trPr>
          <w:cantSplit w:val="0"/>
          <w:trHeight w:val="77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Ідентифікація студента, отримання ним завдання та ознайомлення з ним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Виконання завдання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Попередження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про час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(екзаменатор)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Перехід на наступну станцію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Всього</w:t>
            </w:r>
          </w:p>
        </w:tc>
      </w:tr>
      <w:tr>
        <w:trPr>
          <w:cantSplit w:val="0"/>
          <w:trHeight w:val="9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1-2 хв.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6-8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За 2 хв до закінчення часу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 хв.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 хв</w:t>
            </w:r>
          </w:p>
        </w:tc>
      </w:tr>
    </w:tbl>
    <w:p w:rsidR="00000000" w:rsidDel="00000000" w:rsidP="00000000" w:rsidRDefault="00000000" w:rsidRPr="00000000" w14:paraId="00000073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79.999999999998" w:type="dxa"/>
        <w:jc w:val="center"/>
        <w:tblLayout w:type="fixed"/>
        <w:tblLook w:val="0000"/>
      </w:tblPr>
      <w:tblGrid>
        <w:gridCol w:w="553"/>
        <w:gridCol w:w="6673"/>
        <w:gridCol w:w="2054"/>
        <w:tblGridChange w:id="0">
          <w:tblGrid>
            <w:gridCol w:w="553"/>
            <w:gridCol w:w="6673"/>
            <w:gridCol w:w="2054"/>
          </w:tblGrid>
        </w:tblGridChange>
      </w:tblGrid>
      <w:tr>
        <w:trPr>
          <w:cantSplit w:val="0"/>
          <w:trHeight w:val="6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spacing w:after="0" w:line="240" w:lineRule="auto"/>
              <w:ind w:left="187" w:firstLine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ind w:right="109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з/п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u w:val="none"/>
                <w:vertAlign w:val="baseline"/>
                <w:rtl w:val="0"/>
              </w:rPr>
              <w:t xml:space="preserve">Складові виконання клінічного кейсу, що оцінюється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spacing w:after="0" w:line="240" w:lineRule="auto"/>
              <w:ind w:right="112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Тривалість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Комунікація з пацієнтом (оцінка комунікативних навичок)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Збір скарг та анамнезу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Об’єктивне обстеження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Діагностика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Визначення тактики ведення та лікування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1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shd w:fill="ffffff" w:val="clear"/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Технічні навички (маніпуляції)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Профілактика та пропаганда здорового способу життя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Інше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spacing w:after="0" w:line="240" w:lineRule="auto"/>
              <w:ind w:right="110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1 хвилина</w:t>
            </w:r>
          </w:p>
        </w:tc>
      </w:tr>
    </w:tbl>
    <w:p w:rsidR="00000000" w:rsidDel="00000000" w:rsidP="00000000" w:rsidRDefault="00000000" w:rsidRPr="00000000" w14:paraId="00000094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heading=h.iqj34t4av1vu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Компетентності, які оцінюються згідно матриці ОСП(К)І.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КОМУНІКАТИВНІ НАВИЧКИ. 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ЗБІР СКАРГ ТА АНАМНЕЗУ: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ОБ’ЄКТИВНЕ ОБСТЕЖЕННЯ: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ТЕХНІЧНІ НАВИЧКИ (МАНІПУЛЯЦІЇ):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ДІАГНОСТИКА: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ВИЗНАЧЕННЯ ТАКТИКИ ВЕДЕННЯ ТА ЛІКУВАННЯ: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ПРОФІЛАКТИКА ТА ПРОПАГАНДА ЗДОРОВОГО СПОСОБУ ЖИТТЯ: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ІНШЕ: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дотримуватися вимог етики, біоетики та деонтології у своїй фаховій діяльності.</w:t>
      </w:r>
    </w:p>
    <w:p w:rsidR="00000000" w:rsidDel="00000000" w:rsidP="00000000" w:rsidRDefault="00000000" w:rsidRPr="00000000" w14:paraId="000000A7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20" w:customStyle="1">
    <w:name w:val="Заголовок 2 Знак"/>
    <w:basedOn w:val="a0"/>
    <w:link w:val="2"/>
    <w:uiPriority w:val="9"/>
    <w:rsid w:val="00334E2C"/>
    <w:rPr>
      <w:rFonts w:asciiTheme="majorHAnsi" w:cstheme="majorBidi" w:eastAsiaTheme="majorEastAsia" w:hAnsiTheme="majorHAnsi"/>
      <w:color w:val="2f5496" w:themeColor="accent1" w:themeShade="0000BF"/>
      <w:sz w:val="32"/>
      <w:szCs w:val="32"/>
      <w:lang w:val="ru-RU"/>
    </w:rPr>
  </w:style>
  <w:style w:type="paragraph" w:styleId="a3">
    <w:name w:val="List Paragraph"/>
    <w:basedOn w:val="a"/>
    <w:uiPriority w:val="1"/>
    <w:qFormat w:val="1"/>
    <w:rsid w:val="00334E2C"/>
    <w:pPr>
      <w:ind w:left="720"/>
      <w:contextualSpacing w:val="1"/>
    </w:pPr>
  </w:style>
  <w:style w:type="character" w:styleId="Bold" w:customStyle="1">
    <w:name w:val="Bold"/>
    <w:uiPriority w:val="99"/>
    <w:rsid w:val="00334E2C"/>
    <w:rPr>
      <w:b w:val="1"/>
      <w:u w:val="none"/>
      <w:vertAlign w:val="baseline"/>
    </w:rPr>
  </w:style>
  <w:style w:type="paragraph" w:styleId="a4" w:customStyle="1">
    <w:name w:val="[Без стиля]"/>
    <w:rsid w:val="00334E2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cs="Times New Roman" w:hAnsi="Times New Roman" w:eastAsiaTheme="minorEastAsia"/>
      <w:color w:val="000000"/>
      <w:sz w:val="24"/>
      <w:szCs w:val="24"/>
      <w:lang w:eastAsia="uk-UA" w:val="en-US"/>
    </w:rPr>
  </w:style>
  <w:style w:type="paragraph" w:styleId="Ch6" w:customStyle="1">
    <w:name w:val="Основной текст (без абзаца) (Ch_6 Міністерства)"/>
    <w:basedOn w:val="a"/>
    <w:uiPriority w:val="99"/>
    <w:rsid w:val="00334E2C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after="0" w:before="57" w:line="257" w:lineRule="auto"/>
      <w:jc w:val="both"/>
      <w:textAlignment w:val="center"/>
    </w:pPr>
    <w:rPr>
      <w:rFonts w:ascii="Pragmatica Book" w:cs="Pragmatica Book" w:hAnsi="Pragmatica Book" w:eastAsiaTheme="minorEastAsia"/>
      <w:color w:val="000000"/>
      <w:w w:val="90"/>
      <w:sz w:val="18"/>
      <w:szCs w:val="18"/>
      <w:lang w:eastAsia="uk-UA" w:val="uk-UA"/>
    </w:rPr>
  </w:style>
  <w:style w:type="paragraph" w:styleId="TableshapkaTABL" w:customStyle="1">
    <w:name w:val="Table_shapka (TABL)"/>
    <w:basedOn w:val="a"/>
    <w:uiPriority w:val="99"/>
    <w:rsid w:val="00334E2C"/>
    <w:pPr>
      <w:widowControl w:val="0"/>
      <w:tabs>
        <w:tab w:val="right" w:pos="6350"/>
      </w:tabs>
      <w:suppressAutoHyphens w:val="1"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cs="Pragmatica Book" w:hAnsi="Pragmatica Book" w:eastAsiaTheme="minorEastAsia"/>
      <w:color w:val="000000"/>
      <w:w w:val="90"/>
      <w:sz w:val="15"/>
      <w:szCs w:val="15"/>
      <w:lang w:eastAsia="uk-UA" w:val="uk-UA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42.0" w:type="dxa"/>
        <w:bottom w:w="0.0" w:type="dxa"/>
        <w:right w:w="42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PkUSmKTPAeR+O+Cvku5ztXaxdQ==">CgMxLjAyDmguaGd3d3ZlcDBqbnNqMg5oLmlxajM0dDRhdjF2dTgAciExSVhXR3V0SEpmbVNjZVVNaVdNS0dpZkRJMkNkUG91VlE=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2026-03-27T12:56:00Z</dcterms:created>
  <dc:creator>Elvira Danko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61e0755a648976a2524148b1eb7c46055ede910b877ac5f50dfae7c3f2d0e481</vt:lpwstr>
  </property>
</Properties>
</file>