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3">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4">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5">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6">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7">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B">
      <w:pPr>
        <w:spacing w:after="0" w:line="240" w:lineRule="auto"/>
        <w:ind w:left="12" w:hanging="10"/>
        <w:jc w:val="center"/>
        <w:rPr>
          <w:rFonts w:ascii="Times New Roman" w:cs="Times New Roman" w:eastAsia="Times New Roman" w:hAnsi="Times New Roman"/>
          <w:b w:val="1"/>
          <w:bCs w:val="1"/>
          <w:color w:val="000000"/>
          <w:sz w:val="28"/>
          <w:szCs w:val="28"/>
        </w:rPr>
      </w:pPr>
      <w:bookmarkStart w:colFirst="0" w:colLast="0" w:name="_heading=h.2sktxdqsfko" w:id="0"/>
      <w:bookmarkEnd w:id="0"/>
      <w:r w:rsidDel="00000000" w:rsidR="00000000" w:rsidRPr="00000000">
        <w:rPr>
          <w:rFonts w:ascii="Times New Roman" w:cs="Times New Roman" w:eastAsia="Times New Roman" w:hAnsi="Times New Roman"/>
          <w:b w:val="1"/>
          <w:bCs w:val="1"/>
          <w:color w:val="000000"/>
          <w:sz w:val="28"/>
          <w:szCs w:val="28"/>
          <w:rtl w:val="0"/>
        </w:rPr>
        <w:t xml:space="preserve">НАВЧАЛЬНО-НАУКОВИЙ ІНСТИТУТ СТОМАТОЛОГІЇ ТА ЛАБОРАТОРНОЇ МЕДИЦИНИ </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1»</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«Лікування сколу ріжучого краю 22 зуба (без оголення пульпи)»</w:t>
      </w:r>
    </w:p>
    <w:p w:rsidR="00000000" w:rsidDel="00000000" w:rsidP="00000000" w:rsidRDefault="00000000" w:rsidRPr="00000000" w14:paraId="00000016">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color w:val="000000"/>
          <w:sz w:val="28"/>
          <w:szCs w:val="28"/>
          <w:rtl w:val="0"/>
        </w:rPr>
        <w:t xml:space="preserve">«Лікування сколу ріжучого краю 22 зуба (без оголення пульпи)», </w:t>
      </w:r>
      <w:r w:rsidDel="00000000" w:rsidR="00000000" w:rsidRPr="00000000">
        <w:rPr>
          <w:rFonts w:ascii="Times New Roman" w:cs="Times New Roman" w:eastAsia="Times New Roman" w:hAnsi="Times New Roman"/>
          <w:sz w:val="28"/>
          <w:szCs w:val="28"/>
          <w:rtl w:val="0"/>
        </w:rPr>
        <w:t xml:space="preserve">передбачає вирішення клінічного завдання з виконанням практичних навичок, алгоритм котрих представлений нижче.</w:t>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tabs>
          <w:tab w:val="left" w:leader="none" w:pos="336"/>
          <w:tab w:val="center" w:leader="none" w:pos="4815"/>
        </w:tabs>
        <w:spacing w:after="0" w:line="240"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Алгоритм роботи на станції при лікуванні сколу ріжучого краю 22 зуба ( без оголення пульпи)</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D">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Привітатися, назвати (ідентифікувати) себе</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Отримати завдання, уважно прочитати його</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Помити і висушити руки</w:t>
            </w:r>
          </w:p>
        </w:tc>
        <w:tc>
          <w:tcPr/>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медичну маску</w:t>
            </w:r>
          </w:p>
        </w:tc>
        <w:tc>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медичні рукавички</w:t>
            </w:r>
          </w:p>
        </w:tc>
        <w:tc>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Обробити руки антисептиком</w:t>
            </w:r>
          </w:p>
        </w:tc>
        <w:tc>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Розпочати комунікацію з пацієнтом</w:t>
            </w:r>
          </w:p>
        </w:tc>
        <w:tc>
          <w:tcPr/>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Визначити тактику ведення та лікування</w:t>
            </w:r>
          </w:p>
        </w:tc>
        <w:tc>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c>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Знеболення</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Студентом обрано аплікаційну анестезію та інфільтраційну анестезію в ділянці 22 зуба 0,5 мл Ультракаїну DS</w:t>
            </w:r>
          </w:p>
        </w:tc>
      </w:tr>
      <w:tr>
        <w:trPr>
          <w:cantSplit w:val="0"/>
          <w:tblHeader w:val="0"/>
        </w:trPr>
        <w:tc>
          <w:tcPr/>
          <w:p w:rsidR="00000000" w:rsidDel="00000000" w:rsidP="00000000" w:rsidRDefault="00000000" w:rsidRPr="00000000" w14:paraId="0000004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11.2.</w:t>
            </w:r>
          </w:p>
        </w:tc>
        <w:tc>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Ізоляція робочого поля</w:t>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пробиває отвір на латексній хустинці розміром S або М, відповідно до ширини шийки зуба. Ізолює 21,22,23 зуби для стабільності. Кофердам натягує на зуб та фіксує зубною ниткою у міжзубних проміжках. Краї додатково ущільнює гідрофільним герметиком. Кофердам натягує на рамку та краї, обережно розправляє для зручності доступу до пришийкової ділянки.</w:t>
            </w:r>
          </w:p>
        </w:tc>
      </w:tr>
      <w:tr>
        <w:trPr>
          <w:cantSplit w:val="0"/>
          <w:tblHeader w:val="0"/>
        </w:trPr>
        <w:tc>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11.3.</w:t>
            </w:r>
          </w:p>
        </w:tc>
        <w:tc>
          <w:tcPr/>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поверхні ріжучого краю</w:t>
            </w:r>
          </w:p>
        </w:tc>
        <w:tc>
          <w:tcPr/>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проводить мінімальне препарування країв сколу для створення мікромеханічного утримання</w:t>
            </w:r>
          </w:p>
        </w:tc>
      </w:tr>
      <w:tr>
        <w:trPr>
          <w:cantSplit w:val="0"/>
          <w:tblHeader w:val="0"/>
        </w:trPr>
        <w:tc>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11.4.</w:t>
            </w:r>
          </w:p>
        </w:tc>
        <w:tc>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Обробка порожнини зуба</w:t>
            </w:r>
          </w:p>
        </w:tc>
        <w:tc>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промиває порожнину зуба антисептиком (хлоргексидин) 0.2%, висушує її. </w:t>
            </w:r>
          </w:p>
        </w:tc>
      </w:tr>
      <w:tr>
        <w:trPr>
          <w:cantSplit w:val="0"/>
          <w:tblHeader w:val="0"/>
        </w:trPr>
        <w:tc>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11.5.</w:t>
            </w:r>
          </w:p>
        </w:tc>
        <w:tc>
          <w:tcPr/>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Адгезивна підготовка </w:t>
            </w:r>
          </w:p>
        </w:tc>
        <w:tc>
          <w:tcPr/>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етапом студент проводить протравлювання 35% розчином ортофосфорної кислоти (15 сек. емаль/10 сек дентин) ретельно змиває та висушує до матовості. Далі наносить адгезив (бонд) роздуває пустером і засвічує фотополімерною лампою 15 сек.</w:t>
            </w:r>
          </w:p>
        </w:tc>
      </w:tr>
      <w:tr>
        <w:trPr>
          <w:cantSplit w:val="0"/>
          <w:tblHeader w:val="0"/>
        </w:trPr>
        <w:tc>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Художня реставрація сколу зуба</w:t>
            </w:r>
          </w:p>
        </w:tc>
        <w:tc>
          <w:tcPr/>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Студентом обрано композитний матеріал  світлового твердіння, який максимально наближений до кольору зубів пацієнта. Використовує багатошарову техніку (дентиновий шар, емалевий шар, прозора маса). Пошарове внесення студентом композитного матеріалу (2 мм), полімеризація кожного шару 20 сек. залежно від лампи. Формування ріжучого краю за допомогою силіконового ключа, який студент зробив перед початком маніпуляцій та який відповідає анатомії зуба (опуклість, гладкість).</w:t>
            </w:r>
          </w:p>
        </w:tc>
      </w:tr>
      <w:tr>
        <w:trPr>
          <w:cantSplit w:val="0"/>
          <w:tblHeader w:val="0"/>
        </w:trPr>
        <w:tc>
          <w:tcPr/>
          <w:p w:rsidR="00000000" w:rsidDel="00000000" w:rsidP="00000000" w:rsidRDefault="00000000" w:rsidRPr="00000000" w14:paraId="0000005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w:t>
            </w:r>
          </w:p>
        </w:tc>
        <w:tc>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Зняття кофердаму</w:t>
            </w:r>
          </w:p>
        </w:tc>
        <w:tc>
          <w:tcPr/>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акуратно знімає кофердам, щоб не зруйнувати краї пломби.</w:t>
            </w:r>
          </w:p>
        </w:tc>
      </w:tr>
      <w:tr>
        <w:trPr>
          <w:cantSplit w:val="0"/>
          <w:tblHeader w:val="0"/>
        </w:trPr>
        <w:tc>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w:t>
            </w:r>
          </w:p>
        </w:tc>
        <w:tc>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Фінішна обробка та полірування реставрації </w:t>
            </w:r>
          </w:p>
        </w:tc>
        <w:tc>
          <w:tcPr/>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використовує полірувальні диски, гумки та пасти. Особливу увагу приділяє ріжучому краю Перевіряє пальпацією та візуально пломбу на гладкість, блиск та відсутність пор.  </w:t>
            </w:r>
          </w:p>
        </w:tc>
      </w:tr>
      <w:tr>
        <w:trPr>
          <w:cantSplit w:val="0"/>
          <w:tblHeader w:val="0"/>
        </w:trPr>
        <w:tc>
          <w:tcPr/>
          <w:p w:rsidR="00000000" w:rsidDel="00000000" w:rsidP="00000000" w:rsidRDefault="00000000" w:rsidRPr="00000000" w14:paraId="0000005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p w:rsidR="00000000" w:rsidDel="00000000" w:rsidP="00000000" w:rsidRDefault="00000000" w:rsidRPr="00000000" w14:paraId="000000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Перевірка оклюзії</w:t>
            </w:r>
          </w:p>
        </w:tc>
        <w:tc>
          <w:tcPr/>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виключення суперконтакту студент використовує артикуляційний папір (надлишок пломби полірує до тих пір, доки папір не перестане відбиватися)</w:t>
            </w:r>
          </w:p>
        </w:tc>
      </w:tr>
      <w:tr>
        <w:trPr>
          <w:cantSplit w:val="0"/>
          <w:tblHeader w:val="0"/>
        </w:trPr>
        <w:tc>
          <w:tcPr/>
          <w:p w:rsidR="00000000" w:rsidDel="00000000" w:rsidP="00000000" w:rsidRDefault="00000000" w:rsidRPr="00000000" w14:paraId="0000005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11.10</w:t>
            </w:r>
          </w:p>
          <w:p w:rsidR="00000000" w:rsidDel="00000000" w:rsidP="00000000" w:rsidRDefault="00000000" w:rsidRPr="00000000" w14:paraId="0000005F">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06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Утилізація засобів індивідуального захисту (ЗІЗ)</w:t>
            </w:r>
          </w:p>
        </w:tc>
        <w:tc>
          <w:tcPr/>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Зняти маску та рукавички </w:t>
            </w:r>
          </w:p>
        </w:tc>
      </w:tr>
    </w:tbl>
    <w:p w:rsidR="00000000" w:rsidDel="00000000" w:rsidP="00000000" w:rsidRDefault="00000000" w:rsidRPr="00000000" w14:paraId="00000065">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66">
      <w:pPr>
        <w:tabs>
          <w:tab w:val="left" w:leader="none" w:pos="2712"/>
        </w:tabs>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067">
      <w:pPr>
        <w:tabs>
          <w:tab w:val="left" w:leader="none" w:pos="2712"/>
        </w:tabs>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ТРИВАЛІСТЬ РОБОТИ НА СТАНЦІЇ</w:t>
      </w:r>
    </w:p>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Попередження</w:t>
            </w:r>
          </w:p>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 час</w:t>
            </w:r>
          </w:p>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1-2 хв.</w:t>
            </w:r>
          </w:p>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хв</w:t>
            </w:r>
          </w:p>
        </w:tc>
      </w:tr>
    </w:tbl>
    <w:p w:rsidR="00000000" w:rsidDel="00000000" w:rsidP="00000000" w:rsidRDefault="00000000" w:rsidRPr="00000000" w14:paraId="0000007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bl>
      <w:tblPr>
        <w:tblStyle w:val="Table3"/>
        <w:tblW w:w="9279.999999999998" w:type="dxa"/>
        <w:jc w:val="center"/>
        <w:tblLayout w:type="fixed"/>
        <w:tblLook w:val="0000"/>
      </w:tblPr>
      <w:tblGrid>
        <w:gridCol w:w="553"/>
        <w:gridCol w:w="6673"/>
        <w:gridCol w:w="2054"/>
        <w:tblGridChange w:id="0">
          <w:tblGrid>
            <w:gridCol w:w="553"/>
            <w:gridCol w:w="6673"/>
            <w:gridCol w:w="2054"/>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ind w:left="18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79">
            <w:pPr>
              <w:spacing w:after="0" w:line="240" w:lineRule="auto"/>
              <w:ind w:right="1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з/п</w:t>
            </w: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ind w:right="11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bl>
    <w:p w:rsidR="00000000" w:rsidDel="00000000" w:rsidP="00000000" w:rsidRDefault="00000000" w:rsidRPr="00000000" w14:paraId="0000009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НАВИЧКИ.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СКАРГ ТА АНАМНЕЗУ:</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ОБ’ЄКТИВНЕ ОБСТЕЖЕННЯ:</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ДІАГНОСТИКА: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Назва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E83CEB"/>
    <w:pPr>
      <w:spacing w:before="160"/>
      <w:jc w:val="center"/>
    </w:pPr>
    <w:rPr>
      <w:i w:val="1"/>
      <w:iCs w:val="1"/>
      <w:color w:val="404040" w:themeColor="text1" w:themeTint="0000BF"/>
    </w:rPr>
  </w:style>
  <w:style w:type="character" w:styleId="a8" w:customStyle="1">
    <w:name w:val="Цитата Знак"/>
    <w:basedOn w:val="a0"/>
    <w:link w:val="a7"/>
    <w:uiPriority w:val="29"/>
    <w:rsid w:val="00E83CEB"/>
    <w:rPr>
      <w:i w:val="1"/>
      <w:iCs w:val="1"/>
      <w:color w:val="404040" w:themeColor="text1" w:themeTint="0000BF"/>
    </w:rPr>
  </w:style>
  <w:style w:type="paragraph" w:styleId="a9">
    <w:name w:val="List Paragraph"/>
    <w:basedOn w:val="a"/>
    <w:uiPriority w:val="1"/>
    <w:qFormat w:val="1"/>
    <w:rsid w:val="00E83CEB"/>
    <w:pPr>
      <w:ind w:left="720"/>
      <w:contextualSpacing w:val="1"/>
    </w:pPr>
  </w:style>
  <w:style w:type="character" w:styleId="aa">
    <w:name w:val="Intense Emphasis"/>
    <w:basedOn w:val="a0"/>
    <w:uiPriority w:val="21"/>
    <w:qFormat w:val="1"/>
    <w:rsid w:val="00E83CEB"/>
    <w:rPr>
      <w:i w:val="1"/>
      <w:iCs w:val="1"/>
      <w:color w:val="2e74b5" w:themeColor="accent1" w:themeShade="0000BF"/>
    </w:rPr>
  </w:style>
  <w:style w:type="paragraph" w:styleId="ab">
    <w:name w:val="Intense Quote"/>
    <w:basedOn w:val="a"/>
    <w:next w:val="a"/>
    <w:link w:val="ac"/>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Насичена цитата Знак"/>
    <w:basedOn w:val="a0"/>
    <w:link w:val="ab"/>
    <w:uiPriority w:val="30"/>
    <w:rsid w:val="00E83CEB"/>
    <w:rPr>
      <w:i w:val="1"/>
      <w:iCs w:val="1"/>
      <w:color w:val="2e74b5" w:themeColor="accent1" w:themeShade="0000BF"/>
    </w:rPr>
  </w:style>
  <w:style w:type="character" w:styleId="ad">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e"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e"/>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f">
    <w:name w:val="Hyperlink"/>
    <w:uiPriority w:val="99"/>
    <w:unhideWhenUsed w:val="1"/>
    <w:rsid w:val="00662665"/>
    <w:rPr>
      <w:color w:val="0000ff"/>
      <w:u w:val="single"/>
    </w:rPr>
  </w:style>
  <w:style w:type="character" w:styleId="af0">
    <w:name w:val="Strong"/>
    <w:basedOn w:val="a0"/>
    <w:uiPriority w:val="22"/>
    <w:qFormat w:val="1"/>
    <w:rsid w:val="008E0873"/>
    <w:rPr>
      <w:b w:val="1"/>
      <w:bCs w:val="1"/>
    </w:rPr>
  </w:style>
  <w:style w:type="character" w:styleId="apple-converted-space" w:customStyle="1">
    <w:name w:val="apple-converted-space"/>
    <w:basedOn w:val="a0"/>
    <w:rsid w:val="008E0873"/>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X1wHdvobAjXMPwThC9Qy/w/WQ==">CgMxLjAyDWguMnNrdHhkcXNma284AHIhMTlmeTRoaGJLT1FHNGVVR3hmYTcwZHlyUS1abm1CYmRu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2026-03-25T09:44:00Z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515d7a8005dd1100fbfb7ae749c46edd79ff191181ff4b1d8cbd31e586554679</vt:lpwstr>
  </property>
</Properties>
</file>