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580"/>
        </w:tabs>
        <w:spacing w:after="0" w:lineRule="auto"/>
        <w:ind w:left="180" w:right="895" w:firstLine="0"/>
        <w:rPr>
          <w:rFonts w:ascii="Times New Roman" w:cs="Times New Roman" w:eastAsia="Times New Roman" w:hAnsi="Times New Roman"/>
          <w:sz w:val="24"/>
          <w:szCs w:val="24"/>
        </w:rPr>
      </w:pPr>
      <w:bookmarkStart w:colFirst="0" w:colLast="0" w:name="_heading=h.sc8i7kvqkvyd" w:id="0"/>
      <w:bookmarkEnd w:id="0"/>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3">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4">
      <w:pPr>
        <w:tabs>
          <w:tab w:val="left" w:leader="none" w:pos="5400"/>
        </w:tabs>
        <w:spacing w:after="0" w:lineRule="auto"/>
        <w:ind w:left="180" w:right="-74"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2026р.                                                                                                                                                             Завідувач кафедри</w:t>
        <w:tab/>
        <w:t xml:space="preserve">   Голова Вченої ради ННІСЛМ</w:t>
      </w:r>
    </w:p>
    <w:p w:rsidR="00000000" w:rsidDel="00000000" w:rsidP="00000000" w:rsidRDefault="00000000" w:rsidRPr="00000000" w14:paraId="00000005">
      <w:pPr>
        <w:tabs>
          <w:tab w:val="left" w:leader="none" w:pos="5580"/>
        </w:tabs>
        <w:spacing w:after="0" w:lineRule="auto"/>
        <w:ind w:left="180" w:right="175"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 О.                                         д.мед.н., проф. Костенко Є.Я. </w:t>
      </w:r>
    </w:p>
    <w:p w:rsidR="00000000" w:rsidDel="00000000" w:rsidP="00000000" w:rsidRDefault="00000000" w:rsidRPr="00000000" w14:paraId="00000006">
      <w:pPr>
        <w:tabs>
          <w:tab w:val="left" w:leader="none" w:pos="5580"/>
        </w:tabs>
        <w:spacing w:after="0" w:lineRule="auto"/>
        <w:ind w:left="180" w:right="895"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7">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9">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A">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НАВЧАЛЬНО-НАУКОВИЙ ІНСТИТУТ СТОМАТОЛОГІЇ ТА ЛАБОРАТОРНОЇ МЕДИЦИНИ</w:t>
      </w:r>
    </w:p>
    <w:p w:rsidR="00000000" w:rsidDel="00000000" w:rsidP="00000000" w:rsidRDefault="00000000" w:rsidRPr="00000000" w14:paraId="0000000B">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2">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2»</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«Лікування хронічного фіброзного пульпіту 17 зуба»</w:t>
      </w:r>
    </w:p>
    <w:p w:rsidR="00000000" w:rsidDel="00000000" w:rsidP="00000000" w:rsidRDefault="00000000" w:rsidRPr="00000000" w14:paraId="00000016">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7">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8">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color w:val="000000"/>
          <w:sz w:val="28"/>
          <w:szCs w:val="28"/>
          <w:rtl w:val="0"/>
        </w:rPr>
        <w:t xml:space="preserve">«Лікування хронічного фіброзного пульпіту 17 зуба»</w:t>
      </w:r>
      <w:r w:rsidDel="00000000" w:rsidR="00000000" w:rsidRPr="00000000">
        <w:rPr>
          <w:rFonts w:ascii="Times New Roman" w:cs="Times New Roman" w:eastAsia="Times New Roman" w:hAnsi="Times New Roman"/>
          <w:sz w:val="28"/>
          <w:szCs w:val="28"/>
          <w:rtl w:val="0"/>
        </w:rPr>
        <w:t xml:space="preserve">, передбачає вирішення клінічного завдання з виконанням практичних навичок, алгоритм котрих представлений нижче. </w:t>
      </w:r>
    </w:p>
    <w:p w:rsidR="00000000" w:rsidDel="00000000" w:rsidP="00000000" w:rsidRDefault="00000000" w:rsidRPr="00000000" w14:paraId="00000019">
      <w:pPr>
        <w:spacing w:after="0" w:line="240" w:lineRule="auto"/>
        <w:ind w:firstLine="708"/>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A">
      <w:pPr>
        <w:tabs>
          <w:tab w:val="left" w:leader="none" w:pos="336"/>
          <w:tab w:val="center" w:leader="none" w:pos="4815"/>
        </w:tabs>
        <w:spacing w:after="0" w:line="240" w:lineRule="auto"/>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Алгоритм роботи на станції при лікуванні хронічного фіброзного пульпіту 17 зуба</w:t>
      </w:r>
    </w:p>
    <w:tbl>
      <w:tblPr>
        <w:tblStyle w:val="Table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
        <w:gridCol w:w="4730"/>
        <w:gridCol w:w="3827"/>
        <w:tblGridChange w:id="0">
          <w:tblGrid>
            <w:gridCol w:w="907"/>
            <w:gridCol w:w="4730"/>
            <w:gridCol w:w="3827"/>
          </w:tblGrid>
        </w:tblGridChange>
      </w:tblGrid>
      <w:tr>
        <w:trPr>
          <w:cantSplit w:val="0"/>
          <w:trHeight w:val="1077" w:hRule="atLeast"/>
          <w:tblHeader w:val="0"/>
        </w:trPr>
        <w:tc>
          <w:tcPr>
            <w:vAlign w:val="center"/>
          </w:tcPr>
          <w:p w:rsidR="00000000" w:rsidDel="00000000" w:rsidP="00000000" w:rsidRDefault="00000000" w:rsidRPr="00000000" w14:paraId="0000001B">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w:t>
            </w:r>
          </w:p>
        </w:tc>
        <w:tc>
          <w:tcPr>
            <w:vAlign w:val="center"/>
          </w:tcPr>
          <w:p w:rsidR="00000000" w:rsidDel="00000000" w:rsidP="00000000" w:rsidRDefault="00000000" w:rsidRPr="00000000" w14:paraId="0000001C">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D">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p w:rsidR="00000000" w:rsidDel="00000000" w:rsidP="00000000" w:rsidRDefault="00000000" w:rsidRPr="00000000" w14:paraId="0000001F">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Привітатися, назвати (ідентифікувати) себе</w:t>
            </w:r>
          </w:p>
          <w:p w:rsidR="00000000" w:rsidDel="00000000" w:rsidP="00000000" w:rsidRDefault="00000000" w:rsidRPr="00000000" w14:paraId="0000002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1">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p w:rsidR="00000000" w:rsidDel="00000000" w:rsidP="00000000" w:rsidRDefault="00000000" w:rsidRPr="00000000" w14:paraId="00000023">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Отримати завдання, уважно прочитати його</w:t>
            </w:r>
          </w:p>
          <w:p w:rsidR="00000000" w:rsidDel="00000000" w:rsidP="00000000" w:rsidRDefault="00000000" w:rsidRPr="00000000" w14:paraId="00000024">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2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Помити і висушити руки</w:t>
            </w:r>
          </w:p>
        </w:tc>
        <w:tc>
          <w:tcPr/>
          <w:p w:rsidR="00000000" w:rsidDel="00000000" w:rsidP="00000000" w:rsidRDefault="00000000" w:rsidRPr="00000000" w14:paraId="0000002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9">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p w:rsidR="00000000" w:rsidDel="00000000" w:rsidP="00000000" w:rsidRDefault="00000000" w:rsidRPr="00000000" w14:paraId="0000002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Одягти медичну маску</w:t>
            </w:r>
          </w:p>
        </w:tc>
        <w:tc>
          <w:tcPr/>
          <w:p w:rsidR="00000000" w:rsidDel="00000000" w:rsidP="00000000" w:rsidRDefault="00000000" w:rsidRPr="00000000" w14:paraId="0000002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2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p w:rsidR="00000000" w:rsidDel="00000000" w:rsidP="00000000" w:rsidRDefault="00000000" w:rsidRPr="00000000" w14:paraId="0000002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Одягти медичні рукавички</w:t>
            </w:r>
          </w:p>
        </w:tc>
        <w:tc>
          <w:tcPr/>
          <w:p w:rsidR="00000000" w:rsidDel="00000000" w:rsidP="00000000" w:rsidRDefault="00000000" w:rsidRPr="00000000" w14:paraId="0000002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2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p w:rsidR="00000000" w:rsidDel="00000000" w:rsidP="00000000" w:rsidRDefault="00000000" w:rsidRPr="00000000" w14:paraId="0000003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Обробити руки антисептиком</w:t>
            </w:r>
          </w:p>
        </w:tc>
        <w:tc>
          <w:tcPr/>
          <w:p w:rsidR="00000000" w:rsidDel="00000000" w:rsidP="00000000" w:rsidRDefault="00000000" w:rsidRPr="00000000" w14:paraId="0000003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p w:rsidR="00000000" w:rsidDel="00000000" w:rsidP="00000000" w:rsidRDefault="00000000" w:rsidRPr="00000000" w14:paraId="0000003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Розпочати комунікацію з пацієнтом</w:t>
            </w:r>
          </w:p>
        </w:tc>
        <w:tc>
          <w:tcPr/>
          <w:p w:rsidR="00000000" w:rsidDel="00000000" w:rsidP="00000000" w:rsidRDefault="00000000" w:rsidRPr="00000000" w14:paraId="0000003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p w:rsidR="00000000" w:rsidDel="00000000" w:rsidP="00000000" w:rsidRDefault="00000000" w:rsidRPr="00000000" w14:paraId="0000003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3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3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p w:rsidR="00000000" w:rsidDel="00000000" w:rsidP="00000000" w:rsidRDefault="00000000" w:rsidRPr="00000000" w14:paraId="0000003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3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 і діагностику використовуючи методи, такі як рентгенографія та ЕОД</w:t>
            </w:r>
          </w:p>
        </w:tc>
      </w:tr>
      <w:tr>
        <w:trPr>
          <w:cantSplit w:val="0"/>
          <w:tblHeader w:val="0"/>
        </w:trPr>
        <w:tc>
          <w:tcPr/>
          <w:p w:rsidR="00000000" w:rsidDel="00000000" w:rsidP="00000000" w:rsidRDefault="00000000" w:rsidRPr="00000000" w14:paraId="0000003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w:t>
            </w:r>
          </w:p>
        </w:tc>
        <w:tc>
          <w:tcPr/>
          <w:p w:rsidR="00000000" w:rsidDel="00000000" w:rsidP="00000000" w:rsidRDefault="00000000" w:rsidRPr="00000000" w14:paraId="0000003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Визначити тактику ведення та лікування</w:t>
            </w:r>
          </w:p>
        </w:tc>
        <w:tc>
          <w:tcPr/>
          <w:p w:rsidR="00000000" w:rsidDel="00000000" w:rsidP="00000000" w:rsidRDefault="00000000" w:rsidRPr="00000000" w14:paraId="0000003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3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c>
          <w:tcPr/>
          <w:p w:rsidR="00000000" w:rsidDel="00000000" w:rsidP="00000000" w:rsidRDefault="00000000" w:rsidRPr="00000000" w14:paraId="0000003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4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rHeight w:val="1234" w:hRule="atLeast"/>
          <w:tblHeader w:val="0"/>
        </w:trPr>
        <w:tc>
          <w:tcPr/>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w:t>
            </w:r>
          </w:p>
        </w:tc>
        <w:tc>
          <w:tcPr/>
          <w:p w:rsidR="00000000" w:rsidDel="00000000" w:rsidP="00000000" w:rsidRDefault="00000000" w:rsidRPr="00000000" w14:paraId="0000004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Знеболення</w:t>
            </w:r>
          </w:p>
        </w:tc>
        <w:tc>
          <w:tcPr/>
          <w:p w:rsidR="00000000" w:rsidDel="00000000" w:rsidP="00000000" w:rsidRDefault="00000000" w:rsidRPr="00000000" w14:paraId="0000004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допомогою карпульного шприца та анестетика студентом проведено інфільтраційну та провідникову (туберальну) анестезію для верхнього моляра</w:t>
            </w:r>
          </w:p>
        </w:tc>
      </w:tr>
      <w:tr>
        <w:trPr>
          <w:cantSplit w:val="0"/>
          <w:tblHeader w:val="0"/>
        </w:trPr>
        <w:tc>
          <w:tcPr/>
          <w:p w:rsidR="00000000" w:rsidDel="00000000" w:rsidP="00000000" w:rsidRDefault="00000000" w:rsidRPr="00000000" w14:paraId="0000004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11.2.</w:t>
            </w:r>
          </w:p>
        </w:tc>
        <w:tc>
          <w:tcPr/>
          <w:p w:rsidR="00000000" w:rsidDel="00000000" w:rsidP="00000000" w:rsidRDefault="00000000" w:rsidRPr="00000000" w14:paraId="00000045">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Ізоляція робочого поля</w:t>
            </w:r>
          </w:p>
          <w:p w:rsidR="00000000" w:rsidDel="00000000" w:rsidP="00000000" w:rsidRDefault="00000000" w:rsidRPr="00000000" w14:paraId="00000046">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Студентом обрано із доступного набору матеріально-технічного забезпечення та підготовлено до подальшої роботи наступний набір інструментів: щипці для накладання клампів, комплект клампів, флоси, латексна хустина, трафарет для позначення зубного ряду, рамка для фіксації кофердаму. Студент використав кламмер № 14 А та надійно зафіксував на рамці. </w:t>
            </w:r>
          </w:p>
        </w:tc>
      </w:tr>
      <w:tr>
        <w:trPr>
          <w:cantSplit w:val="0"/>
          <w:tblHeader w:val="0"/>
        </w:trPr>
        <w:tc>
          <w:tcPr/>
          <w:p w:rsidR="00000000" w:rsidDel="00000000" w:rsidP="00000000" w:rsidRDefault="00000000" w:rsidRPr="00000000" w14:paraId="00000048">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11.3.</w:t>
            </w:r>
          </w:p>
        </w:tc>
        <w:tc>
          <w:tcPr/>
          <w:p w:rsidR="00000000" w:rsidDel="00000000" w:rsidP="00000000" w:rsidRDefault="00000000" w:rsidRPr="00000000" w14:paraId="0000004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Препарування каріозної порожнини</w:t>
            </w:r>
          </w:p>
        </w:tc>
        <w:tc>
          <w:tcPr/>
          <w:p w:rsidR="00000000" w:rsidDel="00000000" w:rsidP="00000000" w:rsidRDefault="00000000" w:rsidRPr="00000000" w14:paraId="0000004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Цю маніпуляцію студент проводить в такій послідовності: висікання склепіння порожнини зуба, створення вільного доступу до кореневих каналів, остаточне формування каріозної порожнини та порожнини зуба. </w:t>
            </w:r>
          </w:p>
          <w:p w:rsidR="00000000" w:rsidDel="00000000" w:rsidP="00000000" w:rsidRDefault="00000000" w:rsidRPr="00000000" w14:paraId="0000004B">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Після завершення препарування каріозної порожнини стерильним кулястим або фісурним бором перфорує склепіння у найближчій до порожнини зуба ділянці. Фісурним бором невеликих розмірів проникає у трепанаційний отвір і поступово коловими рухами розширюють його, висікаючи склепіння в межах порожнини зуба. Необхідно працювати дуже обережно, під постійним зоровим контролем, оскільки можливі висікання зайвого масиву твердих тканин за межами порожнини зуба і навіть перфорація її бічних стінок. Правильно розкрита порожнина зуба майже повністю зливається з каріозною порожниною, їх стінки переходять одна в одну без навісів, згинів, утворюючи пряму лінію. </w:t>
            </w:r>
          </w:p>
        </w:tc>
      </w:tr>
      <w:tr>
        <w:trPr>
          <w:cantSplit w:val="0"/>
          <w:tblHeader w:val="0"/>
        </w:trPr>
        <w:tc>
          <w:tcPr/>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11.4.</w:t>
            </w:r>
          </w:p>
        </w:tc>
        <w:tc>
          <w:tcPr/>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Ампутація пульпи </w:t>
            </w:r>
          </w:p>
        </w:tc>
        <w:tc>
          <w:tcPr/>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Практично вже в процесі розкриття порожнини зуба та висікання її склепіння бором студент видаляє частину коронкової пульпи. Іншу частину пульпи, що залишилася в порожнині, можна також зрізати бором, але доцільніше — гострим екскаватором, оскільки це зменшує небезпеку перфорації стінок і дна порожнини зуба. Залишки пульпи та кров видаляють із порожнини зуба, промиваючи її розчином водню пероксиду або інших антисептиків. </w:t>
            </w:r>
          </w:p>
        </w:tc>
      </w:tr>
      <w:tr>
        <w:trPr>
          <w:cantSplit w:val="0"/>
          <w:tblHeader w:val="0"/>
        </w:trPr>
        <w:tc>
          <w:tcPr/>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11.5.</w:t>
            </w:r>
          </w:p>
        </w:tc>
        <w:tc>
          <w:tcPr/>
          <w:p w:rsidR="00000000" w:rsidDel="00000000" w:rsidP="00000000" w:rsidRDefault="00000000" w:rsidRPr="00000000" w14:paraId="0000005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Розкриття устя кореневих каналів</w:t>
            </w:r>
          </w:p>
        </w:tc>
        <w:tc>
          <w:tcPr/>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багатокореневих зубах на дні порожнини зуба за допомогою зонда студент визначає устя кореневих каналів відповідно до топографії 17зуба. </w:t>
            </w:r>
          </w:p>
          <w:p w:rsidR="00000000" w:rsidDel="00000000" w:rsidP="00000000" w:rsidRDefault="00000000" w:rsidRPr="00000000" w14:paraId="00000052">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Необхідною умовою повного розкриття порожнини зуба є створення зручного доступу до кореневих каналів. Для цього студент розширює устя кореневих каналів кулястим бором невеликих розмірів або спеціальним інструментом (Gates-Glidden, Peeso). За їх допомогою студент надає устям кореневих каналів конусоподібної форми. У подальшому правильність розкриття порожнини контролює кореневою голкою або іншим ендодонтичним інструментом. Якщо устя розкрити правильно, інструмент вільно, не згинаючись, проникає в кореневий канал. </w:t>
            </w:r>
          </w:p>
        </w:tc>
      </w:tr>
      <w:tr>
        <w:trPr>
          <w:cantSplit w:val="0"/>
          <w:tblHeader w:val="0"/>
        </w:trPr>
        <w:tc>
          <w:tcPr/>
          <w:p w:rsidR="00000000" w:rsidDel="00000000" w:rsidP="00000000" w:rsidRDefault="00000000" w:rsidRPr="00000000" w14:paraId="0000005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11.6.</w:t>
            </w:r>
          </w:p>
        </w:tc>
        <w:tc>
          <w:tcPr/>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Екстирпація кореневої пульпи (пульпектомія)</w:t>
            </w:r>
          </w:p>
          <w:p w:rsidR="00000000" w:rsidDel="00000000" w:rsidP="00000000" w:rsidRDefault="00000000" w:rsidRPr="00000000" w14:paraId="00000055">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кореневу пульпу видаляє пульпекстрактором. Його розмір підбирає відповідно до довжини та діаметра коренево го каналу. Пульпекстрактор обережно, без великого зусилля вводить у кореневий канал максимально близько до верхівкового отвору. Це контролють відчуттям опору подальшому апікальному переміщенню інструмента. Інструмент повертають на 1—2 оберти навколо осі та витягають разом із намотаною на нього пульпою. Студент спиняє кровотечу турундою з вати змоченою кровоспинним розчином в канал на 3-5 хв. Якщо пульпа не видалена повністю, то цю маніпуляцію студент повторює.</w:t>
            </w:r>
          </w:p>
          <w:p w:rsidR="00000000" w:rsidDel="00000000" w:rsidP="00000000" w:rsidRDefault="00000000" w:rsidRPr="00000000" w14:paraId="00000057">
            <w:pPr>
              <w:spacing w:after="0" w:line="240" w:lineRule="auto"/>
              <w:rPr>
                <w:rFonts w:ascii="Times New Roman" w:cs="Times New Roman" w:eastAsia="Times New Roman" w:hAnsi="Times New Roman"/>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11.7.</w:t>
            </w:r>
          </w:p>
        </w:tc>
        <w:tc>
          <w:tcPr/>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Інструментальне та медикаментозне оброблення кореневих каналів</w:t>
            </w:r>
          </w:p>
        </w:tc>
        <w:tc>
          <w:tcPr/>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Першочергово студент визначає робочу довжину кореневих  каналів за допомогою апекс локатора. Інструментальна обробка кореневих каналів проведена методикою Step-Back, машинними К-файлами різного розміру за допомогою ендомотора. Протокол іригації кореневого каналу студент проводить таким чином: гіпохлорит натрію 5,25% та хлоргексидину біглюконат 2%.</w:t>
            </w:r>
          </w:p>
        </w:tc>
      </w:tr>
      <w:tr>
        <w:trPr>
          <w:cantSplit w:val="0"/>
          <w:tblHeader w:val="0"/>
        </w:trPr>
        <w:tc>
          <w:tcPr/>
          <w:p w:rsidR="00000000" w:rsidDel="00000000" w:rsidP="00000000" w:rsidRDefault="00000000" w:rsidRPr="00000000" w14:paraId="0000005B">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11.8.</w:t>
            </w:r>
          </w:p>
        </w:tc>
        <w:tc>
          <w:tcPr/>
          <w:p w:rsidR="00000000" w:rsidDel="00000000" w:rsidP="00000000" w:rsidRDefault="00000000" w:rsidRPr="00000000" w14:paraId="0000005C">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Пломбування кореневих каналів </w:t>
            </w:r>
          </w:p>
        </w:tc>
        <w:tc>
          <w:tcPr/>
          <w:p w:rsidR="00000000" w:rsidDel="00000000" w:rsidP="00000000" w:rsidRDefault="00000000" w:rsidRPr="00000000" w14:paraId="0000005D">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Студентом було проведено пломбування кореневих каналів 17 зуба з силлером, методом гарячої вертикальної конденсації гутаперчі.</w:t>
            </w:r>
          </w:p>
        </w:tc>
      </w:tr>
      <w:tr>
        <w:trPr>
          <w:cantSplit w:val="0"/>
          <w:tblHeader w:val="0"/>
        </w:trPr>
        <w:tc>
          <w:tcPr/>
          <w:p w:rsidR="00000000" w:rsidDel="00000000" w:rsidP="00000000" w:rsidRDefault="00000000" w:rsidRPr="00000000" w14:paraId="0000005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11.9.</w:t>
            </w:r>
          </w:p>
        </w:tc>
        <w:tc>
          <w:tcPr/>
          <w:p w:rsidR="00000000" w:rsidDel="00000000" w:rsidP="00000000" w:rsidRDefault="00000000" w:rsidRPr="00000000" w14:paraId="0000005F">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Накладання пломби</w:t>
            </w:r>
          </w:p>
        </w:tc>
        <w:tc>
          <w:tcPr/>
          <w:p w:rsidR="00000000" w:rsidDel="00000000" w:rsidP="00000000" w:rsidRDefault="00000000" w:rsidRPr="00000000" w14:paraId="00000060">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Студент після пломбування кореневих каналів накладає тимчасову пломбу за допомогою рідкого світлополімеризаційного композитного матеріалу.</w:t>
            </w:r>
          </w:p>
        </w:tc>
      </w:tr>
      <w:tr>
        <w:trPr>
          <w:cantSplit w:val="0"/>
          <w:tblHeader w:val="0"/>
        </w:trPr>
        <w:tc>
          <w:tcPr/>
          <w:p w:rsidR="00000000" w:rsidDel="00000000" w:rsidP="00000000" w:rsidRDefault="00000000" w:rsidRPr="00000000" w14:paraId="0000006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11.10</w:t>
            </w:r>
          </w:p>
          <w:p w:rsidR="00000000" w:rsidDel="00000000" w:rsidP="00000000" w:rsidRDefault="00000000" w:rsidRPr="00000000" w14:paraId="00000062">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3">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64">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6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12.</w:t>
            </w:r>
          </w:p>
        </w:tc>
        <w:tc>
          <w:tcPr/>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Утилізація засобів індивідуального захисту (ЗІЗ)</w:t>
            </w:r>
          </w:p>
        </w:tc>
        <w:tc>
          <w:tcPr/>
          <w:p w:rsidR="00000000" w:rsidDel="00000000" w:rsidP="00000000" w:rsidRDefault="00000000" w:rsidRPr="00000000" w14:paraId="00000067">
            <w:pP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Зняти маску та рукавички </w:t>
            </w:r>
          </w:p>
        </w:tc>
      </w:tr>
    </w:tbl>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A">
      <w:pPr>
        <w:tabs>
          <w:tab w:val="left" w:leader="none" w:pos="2712"/>
        </w:tabs>
        <w:spacing w:after="0" w:line="240" w:lineRule="auto"/>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color w:val="000000"/>
          <w:sz w:val="28"/>
          <w:szCs w:val="28"/>
          <w:rtl w:val="0"/>
        </w:rPr>
        <w:tab/>
      </w:r>
      <w:r w:rsidDel="00000000" w:rsidR="00000000" w:rsidRPr="00000000">
        <w:rPr>
          <w:rFonts w:ascii="Times New Roman" w:cs="Times New Roman" w:eastAsia="Times New Roman" w:hAnsi="Times New Roman"/>
          <w:b w:val="1"/>
          <w:bCs w:val="1"/>
          <w:color w:val="000000"/>
          <w:sz w:val="28"/>
          <w:szCs w:val="28"/>
          <w:rtl w:val="0"/>
        </w:rPr>
        <w:t xml:space="preserve">ТРИВАЛІСТЬ РОБОТИ НА СТАНЦІЇ</w:t>
      </w:r>
    </w:p>
    <w:p w:rsidR="00000000" w:rsidDel="00000000" w:rsidP="00000000" w:rsidRDefault="00000000" w:rsidRPr="00000000" w14:paraId="0000006B">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E">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Попередження</w:t>
            </w:r>
          </w:p>
          <w:p w:rsidR="00000000" w:rsidDel="00000000" w:rsidP="00000000" w:rsidRDefault="00000000" w:rsidRPr="00000000" w14:paraId="0000006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 час</w:t>
            </w:r>
          </w:p>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1-2 хв.</w:t>
            </w:r>
          </w:p>
          <w:p w:rsidR="00000000" w:rsidDel="00000000" w:rsidP="00000000" w:rsidRDefault="00000000" w:rsidRPr="00000000" w14:paraId="00000074">
            <w:pPr>
              <w:spacing w:after="0" w:line="240" w:lineRule="auto"/>
              <w:jc w:val="center"/>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8">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хв</w:t>
            </w:r>
          </w:p>
        </w:tc>
      </w:tr>
    </w:tbl>
    <w:p w:rsidR="00000000" w:rsidDel="00000000" w:rsidP="00000000" w:rsidRDefault="00000000" w:rsidRPr="00000000" w14:paraId="00000079">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bl>
      <w:tblPr>
        <w:tblStyle w:val="Table3"/>
        <w:tblW w:w="9279.999999999998" w:type="dxa"/>
        <w:jc w:val="center"/>
        <w:tblLayout w:type="fixed"/>
        <w:tblLook w:val="0000"/>
      </w:tblPr>
      <w:tblGrid>
        <w:gridCol w:w="553"/>
        <w:gridCol w:w="6673"/>
        <w:gridCol w:w="2054"/>
        <w:tblGridChange w:id="0">
          <w:tblGrid>
            <w:gridCol w:w="553"/>
            <w:gridCol w:w="6673"/>
            <w:gridCol w:w="2054"/>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ind w:left="187"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tl w:val="0"/>
              </w:rPr>
            </w:r>
          </w:p>
          <w:p w:rsidR="00000000" w:rsidDel="00000000" w:rsidP="00000000" w:rsidRDefault="00000000" w:rsidRPr="00000000" w14:paraId="0000007C">
            <w:pPr>
              <w:spacing w:after="0" w:line="240" w:lineRule="auto"/>
              <w:ind w:right="1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з/п</w:t>
            </w:r>
            <w:r w:rsidDel="00000000" w:rsidR="00000000" w:rsidRPr="00000000">
              <w:rPr>
                <w:rFonts w:ascii="Times New Roman" w:cs="Times New Roman" w:eastAsia="Times New Roman" w:hAnsi="Times New Roman"/>
                <w:color w:val="000000"/>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pacing w:after="0" w:line="240" w:lineRule="auto"/>
              <w:ind w:right="11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p w:rsidR="00000000" w:rsidDel="00000000" w:rsidP="00000000" w:rsidRDefault="00000000" w:rsidRPr="00000000" w14:paraId="00000085">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p w:rsidR="00000000" w:rsidDel="00000000" w:rsidP="00000000" w:rsidRDefault="00000000" w:rsidRPr="00000000" w14:paraId="00000089">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hd w:fill="ffffff" w:val="clear"/>
              <w:spacing w:after="0"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ind w:right="11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ind w:right="110"/>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 хвилина</w:t>
            </w:r>
          </w:p>
        </w:tc>
      </w:tr>
    </w:tbl>
    <w:p w:rsidR="00000000" w:rsidDel="00000000" w:rsidP="00000000" w:rsidRDefault="00000000" w:rsidRPr="00000000" w14:paraId="0000009A">
      <w:pPr>
        <w:spacing w:after="0" w:line="240" w:lineRule="auto"/>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9B">
      <w:pPr>
        <w:spacing w:after="0" w:line="240" w:lineRule="auto"/>
        <w:rPr>
          <w:rFonts w:ascii="Times New Roman" w:cs="Times New Roman" w:eastAsia="Times New Roman" w:hAnsi="Times New Roman"/>
          <w:b w:val="1"/>
          <w:bCs w:val="1"/>
          <w:sz w:val="28"/>
          <w:szCs w:val="28"/>
        </w:rPr>
      </w:pPr>
      <w:bookmarkStart w:colFirst="0" w:colLast="0" w:name="_heading=h.ghn4bbuxgvb5" w:id="1"/>
      <w:bookmarkEnd w:id="1"/>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КОМУНІКАТИВНІ НАВИЧКИ. </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ЗБІР СКАРГ ТА АНАМНЕЗУ:</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ОБ’ЄКТИВНЕ ОБСТЕЖЕННЯ:</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ДІАГНОСТИКА: </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A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ІНШЕ:</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AD">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E">
      <w:pPr>
        <w:spacing w:after="0" w:line="240" w:lineRule="auto"/>
        <w:rPr>
          <w:rFonts w:ascii="Times New Roman" w:cs="Times New Roman" w:eastAsia="Times New Roman" w:hAnsi="Times New Roman"/>
          <w:color w:val="000000"/>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Назва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і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a7">
    <w:name w:val="Quote"/>
    <w:basedOn w:val="a"/>
    <w:next w:val="a"/>
    <w:link w:val="a8"/>
    <w:uiPriority w:val="29"/>
    <w:qFormat w:val="1"/>
    <w:rsid w:val="00E83CEB"/>
    <w:pPr>
      <w:spacing w:before="160"/>
      <w:jc w:val="center"/>
    </w:pPr>
    <w:rPr>
      <w:i w:val="1"/>
      <w:iCs w:val="1"/>
      <w:color w:val="404040" w:themeColor="text1" w:themeTint="0000BF"/>
    </w:rPr>
  </w:style>
  <w:style w:type="character" w:styleId="a8" w:customStyle="1">
    <w:name w:val="Цитата Знак"/>
    <w:basedOn w:val="a0"/>
    <w:link w:val="a7"/>
    <w:uiPriority w:val="29"/>
    <w:rsid w:val="00E83CEB"/>
    <w:rPr>
      <w:i w:val="1"/>
      <w:iCs w:val="1"/>
      <w:color w:val="404040" w:themeColor="text1" w:themeTint="0000BF"/>
    </w:rPr>
  </w:style>
  <w:style w:type="paragraph" w:styleId="a9">
    <w:name w:val="List Paragraph"/>
    <w:basedOn w:val="a"/>
    <w:uiPriority w:val="1"/>
    <w:qFormat w:val="1"/>
    <w:rsid w:val="00E83CEB"/>
    <w:pPr>
      <w:ind w:left="720"/>
      <w:contextualSpacing w:val="1"/>
    </w:pPr>
  </w:style>
  <w:style w:type="character" w:styleId="aa">
    <w:name w:val="Intense Emphasis"/>
    <w:basedOn w:val="a0"/>
    <w:uiPriority w:val="21"/>
    <w:qFormat w:val="1"/>
    <w:rsid w:val="00E83CEB"/>
    <w:rPr>
      <w:i w:val="1"/>
      <w:iCs w:val="1"/>
      <w:color w:val="2e74b5" w:themeColor="accent1" w:themeShade="0000BF"/>
    </w:rPr>
  </w:style>
  <w:style w:type="paragraph" w:styleId="ab">
    <w:name w:val="Intense Quote"/>
    <w:basedOn w:val="a"/>
    <w:next w:val="a"/>
    <w:link w:val="ac"/>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c" w:customStyle="1">
    <w:name w:val="Насичена цитата Знак"/>
    <w:basedOn w:val="a0"/>
    <w:link w:val="ab"/>
    <w:uiPriority w:val="30"/>
    <w:rsid w:val="00E83CEB"/>
    <w:rPr>
      <w:i w:val="1"/>
      <w:iCs w:val="1"/>
      <w:color w:val="2e74b5" w:themeColor="accent1" w:themeShade="0000BF"/>
    </w:rPr>
  </w:style>
  <w:style w:type="character" w:styleId="ad">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e"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e"/>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f">
    <w:name w:val="Hyperlink"/>
    <w:uiPriority w:val="99"/>
    <w:unhideWhenUsed w:val="1"/>
    <w:rsid w:val="00662665"/>
    <w:rPr>
      <w:color w:val="0000ff"/>
      <w:u w:val="single"/>
    </w:rPr>
  </w:style>
  <w:style w:type="paragraph" w:styleId="af0">
    <w:name w:val="Normal (Web)"/>
    <w:basedOn w:val="a"/>
    <w:uiPriority w:val="99"/>
    <w:unhideWhenUsed w:val="1"/>
    <w:rsid w:val="00560688"/>
    <w:pPr>
      <w:spacing w:after="100" w:afterAutospacing="1" w:before="100" w:beforeAutospacing="1" w:line="240" w:lineRule="auto"/>
    </w:pPr>
    <w:rPr>
      <w:rFonts w:ascii="Times New Roman" w:eastAsia="Times New Roman" w:hAnsi="Times New Roman"/>
      <w:sz w:val="24"/>
      <w:szCs w:val="24"/>
      <w:lang w:eastAsia="ru-RU"/>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nmyOvdx6+uyTXaRlYrSbKoyQ==">CgMxLjAyDmguc2M4aTdrdnFrdnlkMg5oLmdobjRiYnV4Z3ZiNTgAciExemt5dVRZZ3ptN0o1akpuN1Rramw2anRpYTBCeVF4NkY=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2025-04-14T19:39:00Z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9628b642e1a81b134ca35f61498425b396adffb9cc44735aab60bc97c8163bf4</vt:lpwstr>
  </property>
</Properties>
</file>