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nmsbp9lfv6x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«ЗАТВЕРДЖЕНО»</w:t>
        <w:tab/>
        <w:t xml:space="preserve"> 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 2026р.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 О.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7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«Лікування середнього карієсу 43 зуба V класу за Блеком»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«Лікування середнього карієсу 43 зуба V класу за Блеком»,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Алгоритм роботи на станції при лікуванні середнього карієсу 43 зуба V класу за Блеком</w:t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Знеболення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Студентом обрано аплікаційну анестезію та ментальну провідникову для знеболення 43 зуба.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Ізоляція робочого поля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щипці для накладання клампів, комплект клампів, флоси, латексна хустина, трафарет для позначення зубного ряду, рамка для фіксації кофердаму, водопоглинаюча серветка.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Препарування каріозної порожнини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видаляє некротизований дентин за допомогою екскаватора та бора. Екскавацію дентину проводять почергово починаючи від кожної із стінок важелеподібними рухами.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Формування порожнини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Передбачає створення такої форми каріозної порожнини, яка була б спроможна довгий час утримувати пломбувальний матеріал і зберігати пломбу. Студент формує округлу порожнину в пришийковій ділянці зі збереженням емалевого краю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Обробка порожнини зуба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промиває порожнину зуба водою та висушує її.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Адгезивна підготовка 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Наступним етапом студент проводить протравлювання 35% розчином ортофосфорної кислоти (15 сек. емаль/10 сек. дентин) ретельно змиває та висушує до матовості. Далі наносить адгезив (бонд), роздуває пустером і засвічує фотополімерною лампою 15 сек.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Пломбування порожнини зуба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Студентом обрано композитний матеріал  світлового твердіння. Пошарове внесення студентом композитного матеріалу (2 мм), полімеризація кожного шару 20-40 секунд залежно від лампи. Формування форми відповідно до анатомії (опуклість, гладкість).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Зняття кофердаму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акуратно знімає кофердам та кламп, щоб не зруйнувати краї пломби.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Фінішна обробка та полірування пломби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використовує полірувальні диски, гумки та пасти. Особливу увагу надає краю пломби (плавний перехід до емалі). Перевіряє візуально пломбу на гладкість, блиск та відсутність пор.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Перевірка оклюзії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Для виключення суперконтакту студент використовує артикуляційний папір (надлишок пломби полірує до тих пір, доки папір не перестане відбиватися)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11.11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z2idbibcr89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ind w:left="36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SHbm3P/vBq4PIBbTQSngBVVQAA==">CgMxLjAyDmgubW5tc2JwOWxmdjZ4Mg5oLnoyaWRiaWJjcjg5eTgAciExVWhRNDVKbWtQUUY0M3JCWTNKaEc5OVhhUGlha1F4WHU=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2025-04-14T13:52:00Z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cb94cf68f1607a77bb825ae9b3a41d88ac90ae37be7d725dc81906564940eb96</vt:lpwstr>
  </property>
</Properties>
</file>