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sx1mfhleqfnm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«ЗАТВЕРДЖЕНО»</w:t>
        <w:tab/>
        <w:t xml:space="preserve">                                                             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 2026р.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 О.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«Пломбування каріозної порожнини II класу за Блеком в ході діагностики та лікування випадку гострого середнього карієсу 26 зуба»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«Пломбування каріозної порожнини II класу за Блеком в ході діагностики та лікування випадку гострого середнього карієсу 26 зуба»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лікуванні гострого середнього карієсу 26 зуба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анестезії та ізоляції 26 зуба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анестезію та за допомогою системи кофердам студентом проведено ізоляцію 26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препарування 26 зуба (розкриття та розширення каріозної порожнини)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розкриття каріозної порожнин II класу за наявності сусіднього зуба через жувальну поверхню зуба, видаляючи емаль і дентин над вогнищем каріозного ураження, використовуючи кулясті або циліндричні алмазні бори і турбінний наконечник із повітряно-водяним охолодженням. За відсутності сусіднього зуба для розкриття каріозної порожнини II класу можна застосувати прямий доступ - у цьому разі каріозну порожнину препарують безпосередньо з ураженої поверхні.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Висічення (некректомія)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виконує некректомію, використовуючи екскаватор, розмір якого відповідає розміру каріозної порожнини: робочу частину екскаватора розташуйте паралельно до дна каріозної порожнини і виконуйте комоподібні рухи від центру до периферії, або за допомогою кулястого твердосплавного бора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Формування порожнини 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формування порожнини і додаткової площадки за допомогою циліндричного алмазного бора, дотримуючись принципів біологічної доцільності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Створення фальцу емалі під кутом 45° алмазним бором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обробку емалевих країв каріозної порожнини, відповідно до вимог обраного пломбувального матеріалу, конусним алмазним бором.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Введення ретракційної нитки в ясенну борозну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вводить ретракційну нитку в ясенну борозну за допомогою гладилки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Встановлення матриці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встановлює матрицю для щільного контакту з апроксимальною поверхнею сусіднього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Встановлення клину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вводить клин для створення щільного контакту між матрицею та зубом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Обробка каріозної порожнини антисептиком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антисептичну обробку каріозної порожнини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пломбувального матеріалу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обирає композитний матеріал світлового твердіння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етапів пломбування та відновлення контактного пункту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протравлювання емалі 30 секунд, дентину 15 секунд; промивання водою; висушування; нанесення адгезиву; розподіл адгезиву пустером із повітрям; полімеризація протягом 20 секунд.; внесення матеріалу порціями і полімеризація кожного шару 20 секунд із формуванням анатомічної форми зуба.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акуратно знімає клинці, матрицю, ретракційну нитку та перевіряє контактний пункт, для цього застосовує зубну нитку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11.12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Оклюзійна корекція пломбувального матеріалу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використовує оклюзійний папір для корекції оклюзії за допомогою алмазних борів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11.13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фінішної обробки та полірування реставрації</w:t>
              <w:tab/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фінішну обробку та полірування пломбувального матеріалу за допомогою резинок та щіточок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11.14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70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81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0.0" w:type="dxa"/>
        <w:jc w:val="center"/>
        <w:tblLayout w:type="fixed"/>
        <w:tblLook w:val="0000"/>
      </w:tblPr>
      <w:tblGrid>
        <w:gridCol w:w="553"/>
        <w:gridCol w:w="7107"/>
        <w:gridCol w:w="1620"/>
        <w:tblGridChange w:id="0">
          <w:tblGrid>
            <w:gridCol w:w="553"/>
            <w:gridCol w:w="7107"/>
            <w:gridCol w:w="1620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A2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o2rlrq56hljv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B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af0">
    <w:name w:val="No Spacing"/>
    <w:uiPriority w:val="1"/>
    <w:qFormat w:val="1"/>
    <w:rsid w:val="000F0CFF"/>
    <w:pPr>
      <w:spacing w:after="0" w:line="240" w:lineRule="auto"/>
    </w:pPr>
    <w:rPr>
      <w:rFonts w:ascii="Calibri" w:cs="Times New Roman" w:eastAsia="Calibri" w:hAnsi="Calibri"/>
      <w:kern w:val="0"/>
      <w:lang w:val="ru-RU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vK9CRKpRjVZgsryIzCw+1BC1SQ==">CgMxLjAyDmguc3gxbWZobGVxZm5tMg5oLm8ycmxycTU2aGxqdjgAciExYUswRHFSeWpjdk5RVXZoYlNCUHlmQk01MThiSlliTmE=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2025-04-06T20:52:00Z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