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4125A36" w14:textId="77777777" w:rsidR="00A17583" w:rsidRDefault="00A17583" w:rsidP="00A175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F1BA1E2" w14:textId="77777777" w:rsidR="00A17583" w:rsidRDefault="00A17583" w:rsidP="00A175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21E33E5" w14:textId="77777777" w:rsidR="00A17583" w:rsidRDefault="00A17583" w:rsidP="00A1758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BB99508" w14:textId="77777777" w:rsidR="00A17583" w:rsidRDefault="00A17583" w:rsidP="00A1758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99740A1" w14:textId="77777777" w:rsidR="00A17583" w:rsidRDefault="00A17583" w:rsidP="00A1758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A97298B" w14:textId="77777777" w:rsidR="00A17583" w:rsidRDefault="00A17583" w:rsidP="00A1758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4219727" w14:textId="77777777" w:rsidR="00A17583" w:rsidRDefault="00A17583" w:rsidP="00A1758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B0B551" w14:textId="77777777" w:rsidR="00A17583" w:rsidRDefault="00A17583" w:rsidP="00A1758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128D1E5" w14:textId="77777777" w:rsidR="00A17583" w:rsidRDefault="00A17583" w:rsidP="00A1758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B2A9195" w14:textId="77777777" w:rsidR="00293E66" w:rsidRPr="00293E66" w:rsidRDefault="00293E66" w:rsidP="00293E66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293E66">
        <w:rPr>
          <w:rFonts w:ascii="Times New Roman" w:hAnsi="Times New Roman"/>
          <w:b/>
          <w:sz w:val="28"/>
        </w:rPr>
        <w:t>«</w:t>
      </w:r>
      <w:r w:rsidRPr="00293E66">
        <w:rPr>
          <w:rFonts w:ascii="Times New Roman" w:hAnsi="Times New Roman"/>
          <w:sz w:val="28"/>
          <w:szCs w:val="28"/>
          <w:lang w:val="uk-UA"/>
        </w:rPr>
        <w:t xml:space="preserve">Профілактични огляд </w:t>
      </w:r>
      <w:r w:rsidRPr="00293E66">
        <w:rPr>
          <w:rFonts w:ascii="Times New Roman" w:hAnsi="Times New Roman"/>
          <w:sz w:val="28"/>
          <w:szCs w:val="28"/>
        </w:rPr>
        <w:t xml:space="preserve"> дитини 5 років у лікаря-ортодонта: визначення співвідношення щелеп</w:t>
      </w:r>
      <w:r w:rsidRPr="00293E66">
        <w:rPr>
          <w:rFonts w:ascii="Times New Roman" w:hAnsi="Times New Roman"/>
          <w:b/>
          <w:sz w:val="28"/>
        </w:rPr>
        <w:t>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39BC7B4" w:rsidR="00532372" w:rsidRPr="00685136" w:rsidRDefault="00532372" w:rsidP="00293E6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93E66" w:rsidRPr="00293E66">
        <w:rPr>
          <w:rFonts w:ascii="Times New Roman" w:hAnsi="Times New Roman"/>
          <w:b/>
          <w:sz w:val="28"/>
          <w:szCs w:val="28"/>
        </w:rPr>
        <w:t>«</w:t>
      </w:r>
      <w:r w:rsidR="00293E66" w:rsidRPr="00293E66">
        <w:rPr>
          <w:rFonts w:ascii="Times New Roman" w:hAnsi="Times New Roman"/>
          <w:b/>
          <w:sz w:val="28"/>
          <w:szCs w:val="28"/>
          <w:lang w:val="uk-UA"/>
        </w:rPr>
        <w:t xml:space="preserve">Профілактични огляд </w:t>
      </w:r>
      <w:r w:rsidR="00293E66" w:rsidRPr="00293E66">
        <w:rPr>
          <w:rFonts w:ascii="Times New Roman" w:hAnsi="Times New Roman"/>
          <w:b/>
          <w:sz w:val="28"/>
          <w:szCs w:val="28"/>
        </w:rPr>
        <w:t xml:space="preserve"> дитини 5 років у лікаря-ортодонта: визначення співвідношення щелеп»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73C5EEB" w14:textId="1AA0977E" w:rsidR="00CD02B5" w:rsidRPr="00CD02B5" w:rsidRDefault="00685136" w:rsidP="00CD02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5136">
        <w:rPr>
          <w:rFonts w:ascii="Times New Roman" w:hAnsi="Times New Roman"/>
          <w:i/>
          <w:sz w:val="28"/>
          <w:szCs w:val="28"/>
        </w:rPr>
        <w:t>Алгоритм роботи на станції при демонстрації визначення співвідношення верхньої щелепи до нижньої</w:t>
      </w: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084B7B2" w:rsidR="003B73FC" w:rsidRPr="004B52BF" w:rsidRDefault="00685136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eastAsia="Times New Roman" w:hAnsi="Times New Roman"/>
                <w:color w:val="000000"/>
                <w:sz w:val="28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02CC738" w:rsidR="003B73FC" w:rsidRPr="003B73FC" w:rsidRDefault="00685136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178D92F8" w:rsidR="003B73FC" w:rsidRPr="00FD6D96" w:rsidRDefault="0068513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На гіпсовій діагностичній моделі показати основні ознаки ІІІ періоду тимчасового прикусу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4100A80B" w:rsidR="003B73FC" w:rsidRPr="003B73FC" w:rsidRDefault="00685136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>Студентом було позначено точки між якими вимірюється ширина апікального базису на верхній щелепі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8C0AB4E" w:rsidR="003B73FC" w:rsidRPr="003B73FC" w:rsidRDefault="0068513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 гіпсовій діагностичній моделі продемонструйте визначення симптому Цилінського. Зонд заводиться за дистальну поверхню верхнього другого тимчасового моляра і поступово переміщується до другого тимчасового нижнього моляра.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0CEABBC4" w:rsidR="003B73FC" w:rsidRPr="004B52BF" w:rsidRDefault="0068513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>Студентом було продемонстровано визначення симптому Цилінського.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0BA9F90" w:rsidR="003B73FC" w:rsidRPr="003B73FC" w:rsidRDefault="00685136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Проаналізуйте результати визначення симптому Цилінського.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0243B145" w:rsidR="003B73FC" w:rsidRPr="003B73FC" w:rsidRDefault="00685136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>Студентом було проаналізовано результати  визначення симптому Цилінського. Якщо зонд зміщується вперед, це свідчить про наявність медіального уступу і в подальшому – правильному прорізуванню перших постійних молярів. Якщо зонд плавно переходить з верхнього другого моляра на нижній або зміщується дистально, це свідчить про дистальне прорізування першого постійного моляра і формування дистального прикусу.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73196">
    <w:abstractNumId w:val="3"/>
  </w:num>
  <w:num w:numId="2" w16cid:durableId="38626324">
    <w:abstractNumId w:val="2"/>
  </w:num>
  <w:num w:numId="3" w16cid:durableId="206067958">
    <w:abstractNumId w:val="0"/>
  </w:num>
  <w:num w:numId="4" w16cid:durableId="1484079692">
    <w:abstractNumId w:val="4"/>
  </w:num>
  <w:num w:numId="5" w16cid:durableId="355883951">
    <w:abstractNumId w:val="1"/>
  </w:num>
  <w:num w:numId="6" w16cid:durableId="1867056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93E66"/>
    <w:rsid w:val="002A7349"/>
    <w:rsid w:val="00355E12"/>
    <w:rsid w:val="00367868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B1C99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17583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5002</Words>
  <Characters>2852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26</cp:revision>
  <dcterms:created xsi:type="dcterms:W3CDTF">2025-06-02T09:26:00Z</dcterms:created>
  <dcterms:modified xsi:type="dcterms:W3CDTF">2026-05-19T16:30:00Z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