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0260CBA" w14:textId="77777777" w:rsidR="00E1426A" w:rsidRPr="005177DB" w:rsidRDefault="00E1426A" w:rsidP="00E1426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EC338FF" w14:textId="77777777" w:rsidR="00E1426A" w:rsidRPr="005177DB" w:rsidRDefault="00E1426A" w:rsidP="00E1426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26E918A" w14:textId="77777777" w:rsidR="00E1426A" w:rsidRPr="005177DB" w:rsidRDefault="00E1426A" w:rsidP="00E1426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6D21B33" w14:textId="77777777" w:rsidR="00E1426A" w:rsidRPr="005177DB" w:rsidRDefault="00E1426A" w:rsidP="00E1426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56A329E" w14:textId="77777777" w:rsidR="00E1426A" w:rsidRPr="005177DB" w:rsidRDefault="00E1426A" w:rsidP="00E1426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1624AEFE" w14:textId="77777777" w:rsidR="00E1426A" w:rsidRPr="005177DB" w:rsidRDefault="00E1426A" w:rsidP="00E1426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85A06B7" w14:textId="77777777" w:rsidR="00E1426A" w:rsidRPr="009F699E" w:rsidRDefault="00E1426A" w:rsidP="00E1426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C0560C" w14:textId="77777777" w:rsidR="00E1426A" w:rsidRPr="009F699E" w:rsidRDefault="00E1426A" w:rsidP="00E1426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DB1F3B5" w14:textId="77777777" w:rsidR="00E1426A" w:rsidRPr="005425BE" w:rsidRDefault="00E1426A" w:rsidP="00E1426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0CE5DA0" w14:textId="42817F0D" w:rsidR="00A25729" w:rsidRPr="00A25729" w:rsidRDefault="00A25729" w:rsidP="00A25729">
      <w:pPr>
        <w:spacing w:after="160"/>
        <w:ind w:left="7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25729">
        <w:rPr>
          <w:rFonts w:ascii="Times New Roman" w:hAnsi="Times New Roman"/>
          <w:bCs/>
          <w:sz w:val="28"/>
          <w:lang w:val="uk-UA"/>
        </w:rPr>
        <w:t>«</w:t>
      </w:r>
      <w:r w:rsidRPr="00A25729">
        <w:rPr>
          <w:rFonts w:ascii="Times New Roman" w:hAnsi="Times New Roman"/>
          <w:bCs/>
          <w:sz w:val="28"/>
          <w:szCs w:val="28"/>
        </w:rPr>
        <w:t xml:space="preserve">Епізод екзогенної профілактики карієсу зубів у дитини </w:t>
      </w:r>
      <w:r w:rsidRPr="00A25729">
        <w:rPr>
          <w:rFonts w:ascii="Times New Roman" w:hAnsi="Times New Roman"/>
          <w:bCs/>
          <w:sz w:val="28"/>
          <w:szCs w:val="28"/>
          <w:lang w:val="uk-UA"/>
        </w:rPr>
        <w:t>6,5</w:t>
      </w:r>
      <w:r w:rsidRPr="00A25729">
        <w:rPr>
          <w:rFonts w:ascii="Times New Roman" w:hAnsi="Times New Roman"/>
          <w:bCs/>
          <w:sz w:val="28"/>
          <w:szCs w:val="28"/>
        </w:rPr>
        <w:t xml:space="preserve"> років: 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A25729">
        <w:rPr>
          <w:rFonts w:ascii="Times New Roman" w:eastAsia="Times New Roman" w:hAnsi="Times New Roman"/>
          <w:bCs/>
          <w:sz w:val="28"/>
          <w:szCs w:val="28"/>
        </w:rPr>
        <w:t>нвазивна герметизаці</w:t>
      </w:r>
      <w:r w:rsidRPr="00A25729">
        <w:rPr>
          <w:rFonts w:ascii="Times New Roman" w:eastAsia="Times New Roman" w:hAnsi="Times New Roman"/>
          <w:bCs/>
          <w:sz w:val="28"/>
          <w:szCs w:val="28"/>
          <w:lang w:val="uk-UA"/>
        </w:rPr>
        <w:t>я</w:t>
      </w:r>
      <w:r w:rsidRPr="00A25729">
        <w:rPr>
          <w:rFonts w:ascii="Times New Roman" w:eastAsia="Times New Roman" w:hAnsi="Times New Roman"/>
          <w:bCs/>
          <w:sz w:val="28"/>
          <w:szCs w:val="28"/>
        </w:rPr>
        <w:t xml:space="preserve"> фісур </w:t>
      </w:r>
      <w:r w:rsidRPr="00A25729">
        <w:rPr>
          <w:rFonts w:ascii="Times New Roman" w:eastAsia="Times New Roman" w:hAnsi="Times New Roman"/>
          <w:bCs/>
          <w:sz w:val="28"/>
          <w:szCs w:val="28"/>
          <w:lang w:val="uk-UA"/>
        </w:rPr>
        <w:t>постійних молярів</w:t>
      </w:r>
      <w:r w:rsidRPr="00A25729">
        <w:rPr>
          <w:rFonts w:ascii="Times New Roman" w:hAnsi="Times New Roman"/>
          <w:bCs/>
          <w:sz w:val="28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2AA5642" w:rsidR="00532372" w:rsidRPr="003F253E" w:rsidRDefault="00532372" w:rsidP="00A2572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</w:t>
      </w:r>
      <w:r w:rsidRPr="00A25729">
        <w:rPr>
          <w:rFonts w:ascii="Times New Roman" w:hAnsi="Times New Roman"/>
          <w:sz w:val="28"/>
          <w:szCs w:val="28"/>
          <w:lang w:val="uk-UA"/>
        </w:rPr>
        <w:t xml:space="preserve">навички </w:t>
      </w:r>
      <w:r w:rsidR="00A25729" w:rsidRPr="00A2572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25729" w:rsidRPr="00A25729">
        <w:rPr>
          <w:rFonts w:ascii="Times New Roman" w:hAnsi="Times New Roman"/>
          <w:b/>
          <w:bCs/>
          <w:sz w:val="28"/>
          <w:szCs w:val="28"/>
        </w:rPr>
        <w:t xml:space="preserve">Епізод екзогенної профілактики карієсу зубів у дитини </w:t>
      </w:r>
      <w:r w:rsidR="00A25729" w:rsidRPr="00A25729">
        <w:rPr>
          <w:rFonts w:ascii="Times New Roman" w:hAnsi="Times New Roman"/>
          <w:b/>
          <w:bCs/>
          <w:sz w:val="28"/>
          <w:szCs w:val="28"/>
          <w:lang w:val="uk-UA"/>
        </w:rPr>
        <w:t>6,5</w:t>
      </w:r>
      <w:r w:rsidR="00A25729" w:rsidRPr="00A25729">
        <w:rPr>
          <w:rFonts w:ascii="Times New Roman" w:hAnsi="Times New Roman"/>
          <w:b/>
          <w:bCs/>
          <w:sz w:val="28"/>
          <w:szCs w:val="28"/>
        </w:rPr>
        <w:t xml:space="preserve"> років: </w:t>
      </w:r>
      <w:r w:rsidR="00A25729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A25729" w:rsidRPr="00A25729">
        <w:rPr>
          <w:rFonts w:ascii="Times New Roman" w:hAnsi="Times New Roman"/>
          <w:b/>
          <w:bCs/>
          <w:sz w:val="28"/>
          <w:szCs w:val="28"/>
        </w:rPr>
        <w:t>нвазивна герметизаці</w:t>
      </w:r>
      <w:r w:rsidR="00A25729" w:rsidRPr="00A25729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="00A25729" w:rsidRPr="00A25729">
        <w:rPr>
          <w:rFonts w:ascii="Times New Roman" w:hAnsi="Times New Roman"/>
          <w:b/>
          <w:bCs/>
          <w:sz w:val="28"/>
          <w:szCs w:val="28"/>
        </w:rPr>
        <w:t xml:space="preserve"> фісур </w:t>
      </w:r>
      <w:r w:rsidR="00A25729" w:rsidRPr="00A25729">
        <w:rPr>
          <w:rFonts w:ascii="Times New Roman" w:hAnsi="Times New Roman"/>
          <w:b/>
          <w:bCs/>
          <w:sz w:val="28"/>
          <w:szCs w:val="28"/>
          <w:lang w:val="uk-UA"/>
        </w:rPr>
        <w:t>постійних молярів</w:t>
      </w:r>
      <w:r w:rsidR="00A25729" w:rsidRPr="00A25729">
        <w:rPr>
          <w:rFonts w:ascii="Times New Roman" w:hAnsi="Times New Roman"/>
          <w:b/>
          <w:bCs/>
          <w:sz w:val="28"/>
          <w:szCs w:val="28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4F47012A" w:rsidR="003B73FC" w:rsidRPr="003B73FC" w:rsidRDefault="003B73FC" w:rsidP="003B73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роботи на станції при проведенні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інвазивної герметизації фісур і сліпих ямок жувальної групи</w:t>
      </w:r>
      <w:r w:rsidRPr="003B73FC">
        <w:rPr>
          <w:rFonts w:ascii="Times New Roman" w:hAnsi="Times New Roman"/>
          <w:bCs/>
          <w:i/>
          <w:iCs/>
          <w:snapToGrid w:val="0"/>
          <w:sz w:val="28"/>
          <w:szCs w:val="28"/>
        </w:rPr>
        <w:t xml:space="preserve">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зубів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1D5F0CFD" w:rsidR="003B73FC" w:rsidRPr="003F253E" w:rsidRDefault="003F253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>Провести огляд жувальної групи зубів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3A1AB42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 зуб, прийнятн</w:t>
            </w:r>
            <w:r w:rsidR="003F253E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проведення інвазивної герметизації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7777777" w:rsidR="003B73FC" w:rsidRPr="003B73FC" w:rsidRDefault="003B73FC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Закриті інтактні фісури на етапі формування кореня зуба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жувальну,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 xml:space="preserve"> вестибулярну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оральну поверхні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</w:t>
            </w:r>
            <w:r w:rsidRPr="003B73FC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r w:rsidRPr="003B73FC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пасти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r w:rsidRPr="003B73FC">
              <w:rPr>
                <w:rFonts w:ascii="Times New Roman" w:hAnsi="Times New Roman"/>
                <w:color w:val="231F20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Жувальна, вестибулярна  і оральна поверхні вільні від м'якого зубного нальоту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78F59" w:rsidR="003B73FC" w:rsidRPr="003B73FC" w:rsidRDefault="00355E12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механічне розширення фісур у межах емалі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F758287" w:rsidR="003B73FC" w:rsidRPr="003B73FC" w:rsidRDefault="00355E12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55E12">
              <w:rPr>
                <w:rFonts w:ascii="Times New Roman" w:hAnsi="Times New Roman"/>
                <w:sz w:val="28"/>
                <w:szCs w:val="28"/>
              </w:rPr>
              <w:t>Алмазними тонкими фісурними або оливоподібної форми борами для турбінного наконечника дрібної зернистості (червоного маркування) проведено механічне розширення фісур зуба (виключно в емалевому шарі)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всі поверхні зуба водою </w:t>
            </w:r>
          </w:p>
          <w:p w14:paraId="7FDA2AA5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 20 – 30 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чисті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 і слиновідсмоктувача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E7D3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Нанести на ділянку фісур і сліпої ямки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наявності)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гель, що містить 37% ортофосфорну кислоту, </w:t>
            </w:r>
          </w:p>
          <w:p w14:paraId="65255A3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на 15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3A7B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 рівномірно розподілено по фісурі та у сліпій ямці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(за наявності)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8A665D" w14:textId="77777777" w:rsidR="003B73FC" w:rsidRPr="003B73FC" w:rsidRDefault="003B73FC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протравлювання емалі в ділянці фісур і сліпої ямки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Промити протравлену ділянку(ки) водою впродовж  30 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Фісури і сліпа ямка (за наявності) не містять залишків травильного гелю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Замінити ватяні або котонові валики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9330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Ватні або котонові валики сухі</w:t>
            </w:r>
          </w:p>
        </w:tc>
      </w:tr>
      <w:tr w:rsidR="003B73FC" w:rsidRPr="003B73FC" w14:paraId="351EFBC1" w14:textId="77777777" w:rsidTr="007B56AB">
        <w:tblPrEx>
          <w:tblCellMar>
            <w:right w:w="0" w:type="dxa"/>
          </w:tblCellMar>
        </w:tblPrEx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2D30D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671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зуба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0274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сухі.</w:t>
            </w:r>
          </w:p>
          <w:p w14:paraId="2F56EF16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Емаль в ділянці фісур і сліпої ямки (за наявності) набула крейдоподібного кольору</w:t>
            </w:r>
          </w:p>
        </w:tc>
      </w:tr>
      <w:tr w:rsidR="003B73FC" w:rsidRPr="003B73FC" w14:paraId="745C027A" w14:textId="77777777" w:rsidTr="007B56AB">
        <w:tblPrEx>
          <w:tblCellMar>
            <w:right w:w="0" w:type="dxa"/>
          </w:tblCellMar>
        </w:tblPrEx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F003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4ED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Нанести композиційний герметик світлового твердіння у фісуру і сліпу ямку (за наявності) за допомогою шприца з канюлею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DB7AC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заповнює фісуру і сліпу ямку (за наявності)</w:t>
            </w:r>
          </w:p>
        </w:tc>
      </w:tr>
      <w:tr w:rsidR="003B73FC" w:rsidRPr="003B73FC" w14:paraId="317F61FA" w14:textId="77777777" w:rsidTr="007B56AB">
        <w:tblPrEx>
          <w:tblCellMar>
            <w:right w:w="0" w:type="dxa"/>
          </w:tblCellMar>
        </w:tblPrEx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FDB2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38CE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Рівномірно розподілити герметик по всій довжині фісури 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зондом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C17F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рівномірно розподілено по всій довжині фісури</w:t>
            </w:r>
          </w:p>
        </w:tc>
      </w:tr>
      <w:tr w:rsidR="003B73FC" w:rsidRPr="003B73FC" w14:paraId="4AF8B36C" w14:textId="77777777" w:rsidTr="007B56AB">
        <w:tblPrEx>
          <w:tblCellMar>
            <w:right w:w="0" w:type="dxa"/>
          </w:tblCellMar>
        </w:tblPrEx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7D2C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FA8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Полімеризувати герметик впродовж </w:t>
            </w:r>
          </w:p>
          <w:p w14:paraId="7ABB8BC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20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DDB0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полімеризації герметика</w:t>
            </w:r>
          </w:p>
        </w:tc>
      </w:tr>
      <w:tr w:rsidR="003B73FC" w:rsidRPr="003B73FC" w14:paraId="49DF273C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1731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8E4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Перевірити оклюзійні контакти за   допомогою артикуляційного паперу,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у разі необхідності здійснити зішліфовування герметика алмазними головками для турбінного наконечника кулястої або оливоподібної форми тонкої зернистості (червоного маркування), провести полірування герметика полірувальними головками для механічного наконечника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7E67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Герметик  не перевищує оклюзійні контакти і має гладку поверхню  </w:t>
            </w:r>
          </w:p>
        </w:tc>
      </w:tr>
      <w:tr w:rsidR="003B73FC" w:rsidRPr="003B73FC" w14:paraId="409EB35E" w14:textId="77777777" w:rsidTr="007B56AB">
        <w:tblPrEx>
          <w:tblCellMar>
            <w:right w:w="0" w:type="dxa"/>
          </w:tblCellMar>
        </w:tblPrEx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58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E9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C2AA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Рекомендації пацієнту:</w:t>
            </w:r>
          </w:p>
          <w:p w14:paraId="342CD7DD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не вживати їжу протягом 2-ох годин;</w:t>
            </w:r>
          </w:p>
          <w:p w14:paraId="37620689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чистити зуби 2 рази на день, використовуючи основні та додаткові засоби гігієни;</w:t>
            </w:r>
          </w:p>
          <w:p w14:paraId="46A19A06" w14:textId="77777777" w:rsidR="003B73FC" w:rsidRPr="003B73FC" w:rsidRDefault="003B73FC" w:rsidP="007B56AB">
            <w:pPr>
              <w:spacing w:after="25" w:line="254" w:lineRule="auto"/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відвідувати стоматолога 2 рази на рік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3958">
    <w:abstractNumId w:val="3"/>
  </w:num>
  <w:num w:numId="2" w16cid:durableId="733430061">
    <w:abstractNumId w:val="2"/>
  </w:num>
  <w:num w:numId="3" w16cid:durableId="1095631234">
    <w:abstractNumId w:val="0"/>
  </w:num>
  <w:num w:numId="4" w16cid:durableId="2015450723">
    <w:abstractNumId w:val="4"/>
  </w:num>
  <w:num w:numId="5" w16cid:durableId="1717044799">
    <w:abstractNumId w:val="1"/>
  </w:num>
  <w:num w:numId="6" w16cid:durableId="135117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332DB"/>
    <w:rsid w:val="009479D0"/>
    <w:rsid w:val="00987E89"/>
    <w:rsid w:val="009C785E"/>
    <w:rsid w:val="009D107D"/>
    <w:rsid w:val="009E3A80"/>
    <w:rsid w:val="009F699E"/>
    <w:rsid w:val="00A002D7"/>
    <w:rsid w:val="00A25729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426A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6043</Words>
  <Characters>3445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6</cp:revision>
  <dcterms:created xsi:type="dcterms:W3CDTF">2025-06-02T09:26:00Z</dcterms:created>
  <dcterms:modified xsi:type="dcterms:W3CDTF">2026-05-19T16:13:00Z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