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53C4744" w14:textId="77777777" w:rsidR="00DE265C" w:rsidRPr="005177DB" w:rsidRDefault="00DE265C" w:rsidP="00DE265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486DF0F" w14:textId="77777777" w:rsidR="00DE265C" w:rsidRPr="005177DB" w:rsidRDefault="00DE265C" w:rsidP="00DE265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52816BE" w14:textId="77777777" w:rsidR="00DE265C" w:rsidRPr="005177DB" w:rsidRDefault="00DE265C" w:rsidP="00DE265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7DFD5E1F" w14:textId="77777777" w:rsidR="00DE265C" w:rsidRPr="005177DB" w:rsidRDefault="00DE265C" w:rsidP="00DE265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7C10C910" w14:textId="77777777" w:rsidR="00DE265C" w:rsidRPr="005177DB" w:rsidRDefault="00DE265C" w:rsidP="00DE265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AFE6A1E" w14:textId="77777777" w:rsidR="00DE265C" w:rsidRPr="005177DB" w:rsidRDefault="00DE265C" w:rsidP="00DE265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D39CBC0" w14:textId="77777777" w:rsidR="00DE265C" w:rsidRPr="009F699E" w:rsidRDefault="00DE265C" w:rsidP="00DE265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4A7033" w14:textId="77777777" w:rsidR="00DE265C" w:rsidRPr="009F699E" w:rsidRDefault="00DE265C" w:rsidP="00DE265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BBF1A4A" w14:textId="77777777" w:rsidR="00DE265C" w:rsidRPr="005425BE" w:rsidRDefault="00DE265C" w:rsidP="00DE265C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3E5D813" w14:textId="77777777" w:rsidR="00A3627D" w:rsidRPr="00A3627D" w:rsidRDefault="00A3627D" w:rsidP="00A3627D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A3627D">
        <w:rPr>
          <w:rFonts w:ascii="Times New Roman" w:hAnsi="Times New Roman"/>
          <w:b/>
          <w:sz w:val="28"/>
          <w:szCs w:val="28"/>
        </w:rPr>
        <w:t>«</w:t>
      </w:r>
      <w:r w:rsidRPr="00A3627D">
        <w:rPr>
          <w:rFonts w:ascii="Times New Roman" w:hAnsi="Times New Roman"/>
          <w:sz w:val="28"/>
          <w:szCs w:val="28"/>
        </w:rPr>
        <w:t xml:space="preserve">Дефект </w:t>
      </w:r>
      <w:proofErr w:type="spellStart"/>
      <w:r w:rsidRPr="00A3627D">
        <w:rPr>
          <w:rFonts w:ascii="Times New Roman" w:hAnsi="Times New Roman"/>
          <w:sz w:val="28"/>
          <w:szCs w:val="28"/>
        </w:rPr>
        <w:t>поверхні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sz w:val="28"/>
          <w:szCs w:val="28"/>
        </w:rPr>
        <w:t>встановленої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sz w:val="28"/>
          <w:szCs w:val="28"/>
        </w:rPr>
        <w:t>пломби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sz w:val="28"/>
          <w:szCs w:val="28"/>
        </w:rPr>
        <w:t>зі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627D">
        <w:rPr>
          <w:rFonts w:ascii="Times New Roman" w:hAnsi="Times New Roman"/>
          <w:sz w:val="28"/>
          <w:szCs w:val="28"/>
        </w:rPr>
        <w:t>склоіономерного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 цементу</w:t>
      </w:r>
      <w:proofErr w:type="gramEnd"/>
      <w:r w:rsidRPr="00A3627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3627D">
        <w:rPr>
          <w:rFonts w:ascii="Times New Roman" w:hAnsi="Times New Roman"/>
          <w:sz w:val="28"/>
          <w:szCs w:val="28"/>
        </w:rPr>
        <w:t>жувальній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47 зуба у </w:t>
      </w:r>
      <w:proofErr w:type="spellStart"/>
      <w:r w:rsidRPr="00A3627D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13 </w:t>
      </w:r>
      <w:proofErr w:type="spellStart"/>
      <w:r w:rsidRPr="00A3627D">
        <w:rPr>
          <w:rFonts w:ascii="Times New Roman" w:hAnsi="Times New Roman"/>
          <w:sz w:val="28"/>
          <w:szCs w:val="28"/>
        </w:rPr>
        <w:t>років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3627D">
        <w:rPr>
          <w:rFonts w:ascii="Times New Roman" w:hAnsi="Times New Roman"/>
          <w:sz w:val="28"/>
          <w:szCs w:val="28"/>
        </w:rPr>
        <w:t>шліфування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3627D">
        <w:rPr>
          <w:rFonts w:ascii="Times New Roman" w:hAnsi="Times New Roman"/>
          <w:sz w:val="28"/>
          <w:szCs w:val="28"/>
        </w:rPr>
        <w:t>полірування</w:t>
      </w:r>
      <w:proofErr w:type="spellEnd"/>
      <w:r w:rsidRPr="00A36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sz w:val="28"/>
          <w:szCs w:val="28"/>
        </w:rPr>
        <w:t>пломби</w:t>
      </w:r>
      <w:proofErr w:type="spellEnd"/>
      <w:r w:rsidRPr="00A3627D">
        <w:rPr>
          <w:rFonts w:ascii="Times New Roman" w:hAnsi="Times New Roman"/>
          <w:b/>
          <w:sz w:val="28"/>
          <w:szCs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7635BE7" w:rsidR="00532372" w:rsidRPr="00F90B58" w:rsidRDefault="00532372" w:rsidP="00A3627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3627D" w:rsidRPr="00A3627D">
        <w:rPr>
          <w:rFonts w:ascii="Times New Roman" w:hAnsi="Times New Roman"/>
          <w:b/>
          <w:sz w:val="28"/>
          <w:szCs w:val="28"/>
        </w:rPr>
        <w:t xml:space="preserve">«Дефект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поверхні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встановленої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пломби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склоіономерного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 цементу на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жувальній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47 зуба у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пацієнта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13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шліфування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полірування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3627D" w:rsidRPr="00A3627D">
        <w:rPr>
          <w:rFonts w:ascii="Times New Roman" w:hAnsi="Times New Roman"/>
          <w:b/>
          <w:sz w:val="28"/>
          <w:szCs w:val="28"/>
        </w:rPr>
        <w:t>пломби</w:t>
      </w:r>
      <w:proofErr w:type="spellEnd"/>
      <w:r w:rsidR="00A3627D" w:rsidRPr="00A3627D">
        <w:rPr>
          <w:rFonts w:ascii="Times New Roman" w:hAnsi="Times New Roman"/>
          <w:b/>
          <w:sz w:val="28"/>
          <w:szCs w:val="28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05C360E5" w:rsidR="00FD6D96" w:rsidRPr="00081B6D" w:rsidRDefault="00A3627D" w:rsidP="00DE265C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A3627D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демонструванні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шліфування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полірування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пломб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зі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склоіономерного</w:t>
      </w:r>
      <w:proofErr w:type="spellEnd"/>
      <w:r w:rsidRPr="00A362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627D">
        <w:rPr>
          <w:rFonts w:ascii="Times New Roman" w:hAnsi="Times New Roman"/>
          <w:i/>
          <w:sz w:val="28"/>
          <w:szCs w:val="28"/>
        </w:rPr>
        <w:t>матеріалу</w:t>
      </w:r>
      <w:proofErr w:type="spellEnd"/>
      <w:r w:rsidR="00081B6D" w:rsidRPr="00081B6D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0819C86" w:rsidR="003B73FC" w:rsidRPr="00FD6D96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Первинне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шліфування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05EFE8B5" w:rsidR="003B73FC" w:rsidRPr="003B73FC" w:rsidRDefault="00A3627D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Використовуйте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грубі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диски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головки для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корекції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>;</w:t>
            </w:r>
            <w:r w:rsidRPr="00A3627D">
              <w:rPr>
                <w:rFonts w:ascii="Times New Roman" w:hAnsi="Times New Roman"/>
                <w:sz w:val="28"/>
                <w:szCs w:val="28"/>
              </w:rPr>
              <w:br/>
              <w:t xml:space="preserve">  -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Дотримуйтесь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охолодження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водою при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роботі</w:t>
            </w:r>
            <w:proofErr w:type="spellEnd"/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4D572EF" w:rsidR="003B73FC" w:rsidRPr="003B73FC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Дрібне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шліфування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C5F" w14:textId="77777777" w:rsidR="00A3627D" w:rsidRPr="00A3627D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Змінити інструмент на дрібнозернистий для згладжування поверхні;</w:t>
            </w:r>
          </w:p>
          <w:p w14:paraId="46B7FABF" w14:textId="13CEB485" w:rsidR="003B73FC" w:rsidRPr="004B52BF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 w:eastAsia="en-US"/>
              </w:rPr>
              <w:t>- Уникати надмірного тиску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94043E4" w:rsidR="003B73FC" w:rsidRPr="003B73FC" w:rsidRDefault="00A3627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Полірування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79A" w14:textId="77777777" w:rsidR="00A3627D" w:rsidRPr="00A3627D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Застосовувати полірувальні пасти або головки;</w:t>
            </w:r>
          </w:p>
          <w:p w14:paraId="7F1EC556" w14:textId="2A0AF0CF" w:rsidR="003B73FC" w:rsidRPr="003B73FC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Досягнути блиску пломби, видаливши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мікрошорсткості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1EA21520" w:rsidR="003B73FC" w:rsidRPr="003B73FC" w:rsidRDefault="00A3627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Контроль </w:t>
            </w: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оклюзії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адаптації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пломби</w:t>
            </w:r>
            <w:proofErr w:type="spellEnd"/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B30D" w14:textId="77777777" w:rsidR="00A3627D" w:rsidRPr="00A3627D" w:rsidRDefault="00A3627D" w:rsidP="00A3627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Використовувати</w:t>
            </w:r>
          </w:p>
          <w:p w14:paraId="6FA2F6AC" w14:textId="7038E23F" w:rsidR="003B73FC" w:rsidRPr="003B73FC" w:rsidRDefault="00A3627D" w:rsidP="00A3627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оклюзійний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папір (якщо є) або оцінити візуально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1ABD4C28" w:rsidR="003B73FC" w:rsidRPr="003B73FC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7F6BF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4BE1DABF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години; </w:t>
            </w:r>
          </w:p>
          <w:p w14:paraId="3291B7AA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уникати твердого перші 24 години після візиту;</w:t>
            </w:r>
          </w:p>
          <w:p w14:paraId="795749C3" w14:textId="1B3FCC47" w:rsidR="003B73FC" w:rsidRPr="003B73FC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27D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E265C"/>
    <w:rsid w:val="00E16072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4900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13</cp:revision>
  <dcterms:created xsi:type="dcterms:W3CDTF">2025-06-02T09:26:00Z</dcterms:created>
  <dcterms:modified xsi:type="dcterms:W3CDTF">2026-04-23T07:46:00Z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